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53" w:rsidRDefault="00E60453" w:rsidP="008A1160">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Mehmet </w:t>
      </w:r>
      <w:r w:rsidR="00986E86">
        <w:rPr>
          <w:rFonts w:ascii="Times New Roman" w:hAnsi="Times New Roman" w:cs="Times New Roman"/>
          <w:b/>
          <w:bCs/>
          <w:sz w:val="24"/>
          <w:szCs w:val="24"/>
        </w:rPr>
        <w:t xml:space="preserve"> EFEOĞLU</w:t>
      </w:r>
      <w:proofErr w:type="gramEnd"/>
    </w:p>
    <w:p w:rsidR="00E60453" w:rsidRDefault="00E60453" w:rsidP="008A1160">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601214043</w:t>
      </w:r>
      <w:proofErr w:type="gramEnd"/>
    </w:p>
    <w:p w:rsidR="00986E86" w:rsidRDefault="00986E86" w:rsidP="008A1160">
      <w:pPr>
        <w:autoSpaceDE w:val="0"/>
        <w:autoSpaceDN w:val="0"/>
        <w:adjustRightInd w:val="0"/>
        <w:spacing w:after="0" w:line="240" w:lineRule="auto"/>
        <w:rPr>
          <w:rFonts w:ascii="Times New Roman" w:hAnsi="Times New Roman" w:cs="Times New Roman"/>
          <w:b/>
          <w:bCs/>
          <w:sz w:val="24"/>
          <w:szCs w:val="24"/>
        </w:rPr>
      </w:pPr>
    </w:p>
    <w:p w:rsidR="00E60453" w:rsidRDefault="00986E86" w:rsidP="00986E86">
      <w:pPr>
        <w:autoSpaceDE w:val="0"/>
        <w:autoSpaceDN w:val="0"/>
        <w:adjustRightInd w:val="0"/>
        <w:spacing w:after="0" w:line="240" w:lineRule="auto"/>
        <w:jc w:val="center"/>
        <w:rPr>
          <w:rFonts w:ascii="Times New Roman" w:hAnsi="Times New Roman" w:cs="Times New Roman"/>
          <w:b/>
          <w:sz w:val="24"/>
          <w:szCs w:val="24"/>
        </w:rPr>
      </w:pPr>
      <w:r w:rsidRPr="00986E86">
        <w:rPr>
          <w:rFonts w:ascii="Times New Roman" w:hAnsi="Times New Roman" w:cs="Times New Roman"/>
          <w:b/>
          <w:sz w:val="24"/>
          <w:szCs w:val="24"/>
        </w:rPr>
        <w:t xml:space="preserve">Tehlikeli Madde </w:t>
      </w:r>
      <w:proofErr w:type="spellStart"/>
      <w:r w:rsidRPr="00986E86">
        <w:rPr>
          <w:rFonts w:ascii="Times New Roman" w:hAnsi="Times New Roman" w:cs="Times New Roman"/>
          <w:b/>
          <w:sz w:val="24"/>
          <w:szCs w:val="24"/>
        </w:rPr>
        <w:t>Taşımacılıgında</w:t>
      </w:r>
      <w:proofErr w:type="spellEnd"/>
      <w:r w:rsidRPr="00986E86">
        <w:rPr>
          <w:rFonts w:ascii="Times New Roman" w:hAnsi="Times New Roman" w:cs="Times New Roman"/>
          <w:b/>
          <w:sz w:val="24"/>
          <w:szCs w:val="24"/>
        </w:rPr>
        <w:t xml:space="preserve"> İş </w:t>
      </w:r>
      <w:proofErr w:type="spellStart"/>
      <w:r w:rsidRPr="00986E86">
        <w:rPr>
          <w:rFonts w:ascii="Times New Roman" w:hAnsi="Times New Roman" w:cs="Times New Roman"/>
          <w:b/>
          <w:sz w:val="24"/>
          <w:szCs w:val="24"/>
        </w:rPr>
        <w:t>Güvenligi</w:t>
      </w:r>
      <w:proofErr w:type="spellEnd"/>
      <w:r w:rsidRPr="00986E86">
        <w:rPr>
          <w:rFonts w:ascii="Times New Roman" w:hAnsi="Times New Roman" w:cs="Times New Roman"/>
          <w:b/>
          <w:sz w:val="24"/>
          <w:szCs w:val="24"/>
        </w:rPr>
        <w:t xml:space="preserve"> ve </w:t>
      </w:r>
      <w:proofErr w:type="spellStart"/>
      <w:r w:rsidRPr="00986E86">
        <w:rPr>
          <w:rFonts w:ascii="Times New Roman" w:hAnsi="Times New Roman" w:cs="Times New Roman"/>
          <w:b/>
          <w:sz w:val="24"/>
          <w:szCs w:val="24"/>
        </w:rPr>
        <w:t>Sağlıgı</w:t>
      </w:r>
      <w:proofErr w:type="spellEnd"/>
    </w:p>
    <w:p w:rsidR="00986E86" w:rsidRPr="00986E86" w:rsidRDefault="00986E86" w:rsidP="00986E86">
      <w:pPr>
        <w:autoSpaceDE w:val="0"/>
        <w:autoSpaceDN w:val="0"/>
        <w:adjustRightInd w:val="0"/>
        <w:spacing w:after="0" w:line="240" w:lineRule="auto"/>
        <w:rPr>
          <w:rFonts w:ascii="Times New Roman" w:hAnsi="Times New Roman" w:cs="Times New Roman"/>
          <w:b/>
          <w:bCs/>
          <w:sz w:val="24"/>
          <w:szCs w:val="24"/>
        </w:rPr>
      </w:pPr>
    </w:p>
    <w:p w:rsidR="008A1160" w:rsidRPr="008A1160" w:rsidRDefault="008A1160" w:rsidP="008A1160">
      <w:pPr>
        <w:autoSpaceDE w:val="0"/>
        <w:autoSpaceDN w:val="0"/>
        <w:adjustRightInd w:val="0"/>
        <w:spacing w:after="0" w:line="240" w:lineRule="auto"/>
        <w:rPr>
          <w:rFonts w:ascii="Times New Roman" w:hAnsi="Times New Roman" w:cs="Times New Roman"/>
          <w:b/>
          <w:bCs/>
          <w:sz w:val="24"/>
          <w:szCs w:val="24"/>
        </w:rPr>
      </w:pPr>
      <w:r w:rsidRPr="008A1160">
        <w:rPr>
          <w:rFonts w:ascii="Times New Roman" w:hAnsi="Times New Roman" w:cs="Times New Roman"/>
          <w:b/>
          <w:bCs/>
          <w:sz w:val="24"/>
          <w:szCs w:val="24"/>
        </w:rPr>
        <w:t>ÖZET</w:t>
      </w:r>
    </w:p>
    <w:p w:rsidR="008A1160" w:rsidRPr="008A1160" w:rsidRDefault="008A1160" w:rsidP="008A1160">
      <w:pPr>
        <w:autoSpaceDE w:val="0"/>
        <w:autoSpaceDN w:val="0"/>
        <w:adjustRightInd w:val="0"/>
        <w:spacing w:after="0" w:line="240" w:lineRule="auto"/>
        <w:rPr>
          <w:rFonts w:ascii="Times New Roman" w:eastAsia="TimesNewRomanPS-ItalicMT" w:hAnsi="Times New Roman" w:cs="Times New Roman"/>
          <w:i/>
          <w:iCs/>
          <w:sz w:val="18"/>
          <w:szCs w:val="18"/>
        </w:rPr>
      </w:pPr>
      <w:r w:rsidRPr="008A1160">
        <w:rPr>
          <w:rFonts w:ascii="Times New Roman" w:eastAsia="TimesNewRomanPS-ItalicMT" w:hAnsi="Times New Roman" w:cs="Times New Roman"/>
          <w:i/>
          <w:iCs/>
          <w:sz w:val="18"/>
          <w:szCs w:val="18"/>
        </w:rPr>
        <w:t>Tehlikeli madde üretimi ve taşımacılığının her geçen gün gerek Türkiye ve gerekse dünyada artış göstermesi insan hayatı ve çevre</w:t>
      </w:r>
      <w:r>
        <w:rPr>
          <w:rFonts w:ascii="Times New Roman" w:eastAsia="TimesNewRomanPS-ItalicMT" w:hAnsi="Times New Roman" w:cs="Times New Roman"/>
          <w:i/>
          <w:iCs/>
          <w:sz w:val="18"/>
          <w:szCs w:val="18"/>
        </w:rPr>
        <w:t xml:space="preserve"> </w:t>
      </w:r>
      <w:r w:rsidRPr="008A1160">
        <w:rPr>
          <w:rFonts w:ascii="Times New Roman" w:eastAsia="TimesNewRomanPS-ItalicMT" w:hAnsi="Times New Roman" w:cs="Times New Roman"/>
          <w:i/>
          <w:iCs/>
          <w:sz w:val="18"/>
          <w:szCs w:val="18"/>
        </w:rPr>
        <w:t>için tehlike arz etmektedir. Dolayısıyla tehlikeli madde taşımacılığında (TEHMAT) risklerin azaltılarak güvenli taşımacılığın sağlanması</w:t>
      </w:r>
      <w:r>
        <w:rPr>
          <w:rFonts w:ascii="Times New Roman" w:eastAsia="TimesNewRomanPS-ItalicMT" w:hAnsi="Times New Roman" w:cs="Times New Roman"/>
          <w:i/>
          <w:iCs/>
          <w:sz w:val="18"/>
          <w:szCs w:val="18"/>
        </w:rPr>
        <w:t xml:space="preserve"> </w:t>
      </w:r>
      <w:r w:rsidRPr="008A1160">
        <w:rPr>
          <w:rFonts w:ascii="Times New Roman" w:eastAsia="TimesNewRomanPS-ItalicMT" w:hAnsi="Times New Roman" w:cs="Times New Roman"/>
          <w:i/>
          <w:iCs/>
          <w:sz w:val="18"/>
          <w:szCs w:val="18"/>
        </w:rPr>
        <w:t>büyük bir öneme sahiptir. Bu amaçla, çalışmanın birinci aşaması</w:t>
      </w:r>
      <w:r>
        <w:rPr>
          <w:rFonts w:ascii="Times New Roman" w:eastAsia="TimesNewRomanPS-ItalicMT" w:hAnsi="Times New Roman" w:cs="Times New Roman"/>
          <w:i/>
          <w:iCs/>
          <w:sz w:val="18"/>
          <w:szCs w:val="18"/>
        </w:rPr>
        <w:t xml:space="preserve">nda TEHMAT risk </w:t>
      </w:r>
      <w:r w:rsidRPr="008A1160">
        <w:rPr>
          <w:rFonts w:ascii="Times New Roman" w:eastAsia="TimesNewRomanPS-ItalicMT" w:hAnsi="Times New Roman" w:cs="Times New Roman"/>
          <w:i/>
          <w:iCs/>
          <w:sz w:val="18"/>
          <w:szCs w:val="18"/>
        </w:rPr>
        <w:t>değerlendirmesinde dikkate alınması gereken faktörlerin</w:t>
      </w:r>
      <w:r>
        <w:rPr>
          <w:rFonts w:ascii="Times New Roman" w:eastAsia="TimesNewRomanPS-ItalicMT" w:hAnsi="Times New Roman" w:cs="Times New Roman"/>
          <w:i/>
          <w:iCs/>
          <w:sz w:val="18"/>
          <w:szCs w:val="18"/>
        </w:rPr>
        <w:t xml:space="preserve"> </w:t>
      </w:r>
      <w:r w:rsidRPr="008A1160">
        <w:rPr>
          <w:rFonts w:ascii="Times New Roman" w:eastAsia="TimesNewRomanPS-ItalicMT" w:hAnsi="Times New Roman" w:cs="Times New Roman"/>
          <w:i/>
          <w:iCs/>
          <w:sz w:val="18"/>
          <w:szCs w:val="18"/>
        </w:rPr>
        <w:t>belirlenmesi için tehlikeli madde taşımacılığı yapan şirketlerde çalışan uzman görüşleri alınmış, ikinci aşamada, faktörlerin gruplaması ve</w:t>
      </w:r>
      <w:r>
        <w:rPr>
          <w:rFonts w:ascii="Times New Roman" w:eastAsia="TimesNewRomanPS-ItalicMT" w:hAnsi="Times New Roman" w:cs="Times New Roman"/>
          <w:i/>
          <w:iCs/>
          <w:sz w:val="18"/>
          <w:szCs w:val="18"/>
        </w:rPr>
        <w:t xml:space="preserve"> </w:t>
      </w:r>
      <w:r w:rsidRPr="008A1160">
        <w:rPr>
          <w:rFonts w:ascii="Times New Roman" w:eastAsia="TimesNewRomanPS-ItalicMT" w:hAnsi="Times New Roman" w:cs="Times New Roman"/>
          <w:i/>
          <w:iCs/>
          <w:sz w:val="18"/>
          <w:szCs w:val="18"/>
        </w:rPr>
        <w:t>hiyerarşik yapısı ortaya konmuştur. Üçüncü aşamada ise yine uzman görüşleri doğrultusunda Analitik Hiyerarşi Proses (AHP) tekniğinden</w:t>
      </w:r>
      <w:r>
        <w:rPr>
          <w:rFonts w:ascii="Times New Roman" w:eastAsia="TimesNewRomanPS-ItalicMT" w:hAnsi="Times New Roman" w:cs="Times New Roman"/>
          <w:i/>
          <w:iCs/>
          <w:sz w:val="18"/>
          <w:szCs w:val="18"/>
        </w:rPr>
        <w:t xml:space="preserve"> </w:t>
      </w:r>
      <w:r w:rsidRPr="008A1160">
        <w:rPr>
          <w:rFonts w:ascii="Times New Roman" w:eastAsia="TimesNewRomanPS-ItalicMT" w:hAnsi="Times New Roman" w:cs="Times New Roman"/>
          <w:i/>
          <w:iCs/>
          <w:sz w:val="18"/>
          <w:szCs w:val="18"/>
        </w:rPr>
        <w:t xml:space="preserve">yararlanılarak faktörler </w:t>
      </w:r>
      <w:proofErr w:type="spellStart"/>
      <w:r w:rsidRPr="008A1160">
        <w:rPr>
          <w:rFonts w:ascii="Times New Roman" w:eastAsia="TimesNewRomanPS-ItalicMT" w:hAnsi="Times New Roman" w:cs="Times New Roman"/>
          <w:i/>
          <w:iCs/>
          <w:sz w:val="18"/>
          <w:szCs w:val="18"/>
        </w:rPr>
        <w:t>ağırlıklandırılmıştır</w:t>
      </w:r>
      <w:proofErr w:type="spellEnd"/>
      <w:r w:rsidRPr="008A1160">
        <w:rPr>
          <w:rFonts w:ascii="Times New Roman" w:eastAsia="TimesNewRomanPS-ItalicMT" w:hAnsi="Times New Roman" w:cs="Times New Roman"/>
          <w:i/>
          <w:iCs/>
          <w:sz w:val="18"/>
          <w:szCs w:val="18"/>
        </w:rPr>
        <w:t>. Çalışma sonucunda tehlikeli madde taşımacılığında risk değerlendirmesi imkânı sağlayan bir</w:t>
      </w:r>
    </w:p>
    <w:p w:rsidR="008A1160" w:rsidRPr="008A1160" w:rsidRDefault="008A1160" w:rsidP="008A1160">
      <w:pPr>
        <w:autoSpaceDE w:val="0"/>
        <w:autoSpaceDN w:val="0"/>
        <w:adjustRightInd w:val="0"/>
        <w:spacing w:after="0" w:line="240" w:lineRule="auto"/>
        <w:rPr>
          <w:rFonts w:ascii="Times New Roman" w:eastAsia="TimesNewRomanPS-ItalicMT" w:hAnsi="Times New Roman" w:cs="Times New Roman"/>
          <w:i/>
          <w:iCs/>
          <w:sz w:val="18"/>
          <w:szCs w:val="18"/>
        </w:rPr>
      </w:pPr>
      <w:proofErr w:type="gramStart"/>
      <w:r w:rsidRPr="008A1160">
        <w:rPr>
          <w:rFonts w:ascii="Times New Roman" w:eastAsia="TimesNewRomanPS-ItalicMT" w:hAnsi="Times New Roman" w:cs="Times New Roman"/>
          <w:i/>
          <w:iCs/>
          <w:sz w:val="18"/>
          <w:szCs w:val="18"/>
        </w:rPr>
        <w:t>indeks</w:t>
      </w:r>
      <w:proofErr w:type="gramEnd"/>
      <w:r w:rsidRPr="008A1160">
        <w:rPr>
          <w:rFonts w:ascii="Times New Roman" w:eastAsia="TimesNewRomanPS-ItalicMT" w:hAnsi="Times New Roman" w:cs="Times New Roman"/>
          <w:i/>
          <w:iCs/>
          <w:sz w:val="18"/>
          <w:szCs w:val="18"/>
        </w:rPr>
        <w:t xml:space="preserve"> geliştirilmiştir.</w:t>
      </w:r>
    </w:p>
    <w:p w:rsidR="007F5C8E" w:rsidRPr="00CB6C82" w:rsidRDefault="008A1160" w:rsidP="008A1160">
      <w:pPr>
        <w:rPr>
          <w:rFonts w:ascii="Times New Roman" w:eastAsia="TimesNewRomanPSMT" w:hAnsi="Times New Roman" w:cs="Times New Roman"/>
          <w:sz w:val="18"/>
          <w:szCs w:val="18"/>
        </w:rPr>
      </w:pPr>
      <w:r w:rsidRPr="008A1160">
        <w:rPr>
          <w:rFonts w:ascii="Times New Roman" w:hAnsi="Times New Roman" w:cs="Times New Roman"/>
          <w:b/>
          <w:bCs/>
          <w:sz w:val="18"/>
          <w:szCs w:val="18"/>
        </w:rPr>
        <w:t xml:space="preserve">Anahtar </w:t>
      </w:r>
      <w:proofErr w:type="gramStart"/>
      <w:r w:rsidRPr="008A1160">
        <w:rPr>
          <w:rFonts w:ascii="Times New Roman" w:hAnsi="Times New Roman" w:cs="Times New Roman"/>
          <w:b/>
          <w:bCs/>
          <w:sz w:val="18"/>
          <w:szCs w:val="18"/>
        </w:rPr>
        <w:t>Kelimeler</w:t>
      </w:r>
      <w:r w:rsidR="00DB2E81">
        <w:rPr>
          <w:rFonts w:ascii="Times New Roman" w:hAnsi="Times New Roman" w:cs="Times New Roman"/>
          <w:b/>
          <w:bCs/>
          <w:sz w:val="18"/>
          <w:szCs w:val="18"/>
        </w:rPr>
        <w:t>:</w:t>
      </w:r>
      <w:r w:rsidRPr="008A1160">
        <w:rPr>
          <w:rFonts w:ascii="Times New Roman" w:eastAsia="TimesNewRomanPSMT" w:hAnsi="Times New Roman" w:cs="Times New Roman"/>
          <w:sz w:val="18"/>
          <w:szCs w:val="18"/>
        </w:rPr>
        <w:t>Risk</w:t>
      </w:r>
      <w:proofErr w:type="gramEnd"/>
      <w:r w:rsidRPr="008A1160">
        <w:rPr>
          <w:rFonts w:ascii="Times New Roman" w:eastAsia="TimesNewRomanPSMT" w:hAnsi="Times New Roman" w:cs="Times New Roman"/>
          <w:sz w:val="18"/>
          <w:szCs w:val="18"/>
        </w:rPr>
        <w:t xml:space="preserve"> Değerlendirme, Tehlikeli Madde Taşımacılığı (TEHMAT).</w:t>
      </w:r>
      <w:r w:rsidR="00CB6C82" w:rsidRPr="00CB6C82">
        <w:rPr>
          <w:rFonts w:ascii="TimesNewRomanPSMT" w:eastAsia="TimesNewRomanPSMT" w:cs="TimesNewRomanPSMT"/>
          <w:sz w:val="18"/>
          <w:szCs w:val="18"/>
        </w:rPr>
        <w:t xml:space="preserve"> </w:t>
      </w:r>
      <w:r w:rsidR="00CB6C82" w:rsidRPr="00CB6C82">
        <w:rPr>
          <w:rFonts w:ascii="Times New Roman" w:eastAsia="TimesNewRomanPSMT" w:hAnsi="Times New Roman" w:cs="Times New Roman"/>
          <w:sz w:val="18"/>
          <w:szCs w:val="18"/>
        </w:rPr>
        <w:t>Analitik Hiyerarşi Proses (AHP)</w:t>
      </w:r>
      <w:r w:rsidR="00DF220A">
        <w:rPr>
          <w:rFonts w:ascii="Times New Roman" w:eastAsia="TimesNewRomanPSMT" w:hAnsi="Times New Roman" w:cs="Times New Roman"/>
          <w:sz w:val="18"/>
          <w:szCs w:val="18"/>
        </w:rPr>
        <w:t>,Yasal düzenleme.</w:t>
      </w:r>
    </w:p>
    <w:p w:rsidR="008A1160" w:rsidRPr="008A1160" w:rsidRDefault="008A1160" w:rsidP="008A1160">
      <w:pPr>
        <w:autoSpaceDE w:val="0"/>
        <w:autoSpaceDN w:val="0"/>
        <w:adjustRightInd w:val="0"/>
        <w:spacing w:after="0" w:line="240" w:lineRule="auto"/>
        <w:rPr>
          <w:rFonts w:ascii="Times New Roman" w:hAnsi="Times New Roman" w:cs="Times New Roman"/>
          <w:b/>
          <w:bCs/>
          <w:sz w:val="24"/>
          <w:szCs w:val="24"/>
        </w:rPr>
      </w:pPr>
      <w:r w:rsidRPr="008A1160">
        <w:rPr>
          <w:rFonts w:ascii="Times New Roman" w:hAnsi="Times New Roman" w:cs="Times New Roman"/>
          <w:b/>
          <w:bCs/>
          <w:sz w:val="24"/>
          <w:szCs w:val="24"/>
        </w:rPr>
        <w:t xml:space="preserve"> GİRİŞ</w:t>
      </w:r>
    </w:p>
    <w:p w:rsidR="008A1160" w:rsidRPr="008A1160" w:rsidRDefault="008A1160" w:rsidP="008A1160">
      <w:pPr>
        <w:autoSpaceDE w:val="0"/>
        <w:autoSpaceDN w:val="0"/>
        <w:adjustRightInd w:val="0"/>
        <w:spacing w:after="0" w:line="240" w:lineRule="auto"/>
        <w:rPr>
          <w:rFonts w:ascii="Times New Roman" w:eastAsia="TimesNewRomanPSMT" w:hAnsi="Times New Roman" w:cs="Times New Roman"/>
          <w:sz w:val="20"/>
          <w:szCs w:val="20"/>
        </w:rPr>
      </w:pPr>
      <w:r w:rsidRPr="008A1160">
        <w:rPr>
          <w:rFonts w:ascii="Times New Roman" w:eastAsia="TimesNewRomanPSMT" w:hAnsi="Times New Roman" w:cs="Times New Roman"/>
          <w:sz w:val="20"/>
          <w:szCs w:val="20"/>
        </w:rPr>
        <w:t>Tehlikeli mad</w:t>
      </w:r>
      <w:r w:rsidR="00033159">
        <w:rPr>
          <w:rFonts w:ascii="Times New Roman" w:eastAsia="TimesNewRomanPSMT" w:hAnsi="Times New Roman" w:cs="Times New Roman"/>
          <w:sz w:val="20"/>
          <w:szCs w:val="20"/>
        </w:rPr>
        <w:t>deler; üretimi, kullanımı</w:t>
      </w:r>
      <w:r w:rsidRPr="008A1160">
        <w:rPr>
          <w:rFonts w:ascii="Times New Roman" w:eastAsia="TimesNewRomanPSMT" w:hAnsi="Times New Roman" w:cs="Times New Roman"/>
          <w:sz w:val="20"/>
          <w:szCs w:val="20"/>
        </w:rPr>
        <w:t>, depolanması veya taşınması esnasında dikkatsizlik/kazalar</w:t>
      </w:r>
    </w:p>
    <w:p w:rsidR="007F5C8E" w:rsidRDefault="008A1160" w:rsidP="007F5C8E">
      <w:pPr>
        <w:autoSpaceDE w:val="0"/>
        <w:autoSpaceDN w:val="0"/>
        <w:adjustRightInd w:val="0"/>
        <w:spacing w:after="0" w:line="240" w:lineRule="auto"/>
        <w:rPr>
          <w:rFonts w:ascii="Times New Roman" w:eastAsia="TimesNewRomanPSMT" w:hAnsi="Times New Roman" w:cs="Times New Roman"/>
          <w:sz w:val="20"/>
          <w:szCs w:val="20"/>
        </w:rPr>
      </w:pPr>
      <w:proofErr w:type="gramStart"/>
      <w:r w:rsidRPr="008A1160">
        <w:rPr>
          <w:rFonts w:ascii="Times New Roman" w:eastAsia="TimesNewRomanPSMT" w:hAnsi="Times New Roman" w:cs="Times New Roman"/>
          <w:sz w:val="20"/>
          <w:szCs w:val="20"/>
        </w:rPr>
        <w:t>sonucunda</w:t>
      </w:r>
      <w:proofErr w:type="gramEnd"/>
      <w:r w:rsidRPr="008A1160">
        <w:rPr>
          <w:rFonts w:ascii="Times New Roman" w:eastAsia="TimesNewRomanPSMT" w:hAnsi="Times New Roman" w:cs="Times New Roman"/>
          <w:sz w:val="20"/>
          <w:szCs w:val="20"/>
        </w:rPr>
        <w:t xml:space="preserve"> çevre ve insan güvenliğini tehlikeye düşürebilen yada zarar verebilen katı, sıvı veya gaz halinde bulunan</w:t>
      </w:r>
      <w:r>
        <w:rPr>
          <w:rFonts w:ascii="Times New Roman" w:eastAsia="TimesNewRomanPSMT" w:hAnsi="Times New Roman" w:cs="Times New Roman"/>
          <w:sz w:val="20"/>
          <w:szCs w:val="20"/>
        </w:rPr>
        <w:t xml:space="preserve"> </w:t>
      </w:r>
      <w:r w:rsidRPr="008A1160">
        <w:rPr>
          <w:rFonts w:ascii="Times New Roman" w:eastAsia="TimesNewRomanPSMT" w:hAnsi="Times New Roman" w:cs="Times New Roman"/>
          <w:sz w:val="20"/>
          <w:szCs w:val="20"/>
        </w:rPr>
        <w:t>maddelerdir</w:t>
      </w:r>
      <w:r w:rsidR="00033159">
        <w:rPr>
          <w:rFonts w:ascii="Times New Roman" w:eastAsia="TimesNewRomanPSMT" w:hAnsi="Times New Roman" w:cs="Times New Roman"/>
          <w:sz w:val="20"/>
          <w:szCs w:val="20"/>
        </w:rPr>
        <w:t>.</w:t>
      </w:r>
      <w:r w:rsidRPr="008A1160">
        <w:rPr>
          <w:rFonts w:ascii="Times New Roman" w:eastAsia="TimesNewRomanPSMT" w:hAnsi="Times New Roman" w:cs="Times New Roman"/>
          <w:sz w:val="20"/>
          <w:szCs w:val="20"/>
        </w:rPr>
        <w:t xml:space="preserve"> Bu maddelere sadece üretim ve lojistikte değil günlük hayatımızda da rastlanmaktadır. Son</w:t>
      </w:r>
      <w:r>
        <w:rPr>
          <w:rFonts w:ascii="Times New Roman" w:eastAsia="TimesNewRomanPSMT" w:hAnsi="Times New Roman" w:cs="Times New Roman"/>
          <w:sz w:val="20"/>
          <w:szCs w:val="20"/>
        </w:rPr>
        <w:t xml:space="preserve"> </w:t>
      </w:r>
      <w:r w:rsidRPr="008A1160">
        <w:rPr>
          <w:rFonts w:ascii="Times New Roman" w:eastAsia="TimesNewRomanPSMT" w:hAnsi="Times New Roman" w:cs="Times New Roman"/>
          <w:sz w:val="20"/>
          <w:szCs w:val="20"/>
        </w:rPr>
        <w:t>yıllarda, hem Türkiye’de hem de dünyada tehlikeli madde üretimi artmıştır. Tehlikeli maddeleri lojistik açısından önemli kılan</w:t>
      </w:r>
      <w:r>
        <w:rPr>
          <w:rFonts w:ascii="Times New Roman" w:eastAsia="TimesNewRomanPSMT" w:hAnsi="Times New Roman" w:cs="Times New Roman"/>
          <w:sz w:val="20"/>
          <w:szCs w:val="20"/>
        </w:rPr>
        <w:t xml:space="preserve"> </w:t>
      </w:r>
      <w:r w:rsidRPr="008A1160">
        <w:rPr>
          <w:rFonts w:ascii="Times New Roman" w:eastAsia="TimesNewRomanPSMT" w:hAnsi="Times New Roman" w:cs="Times New Roman"/>
          <w:sz w:val="20"/>
          <w:szCs w:val="20"/>
        </w:rPr>
        <w:t>taşınması ile ilgili risklerdir. Tehlikeli madde taşımacılığı (TEHMAT) canlılara ve doğaya karşı potansiyel zararları sebebiyle</w:t>
      </w:r>
      <w:r>
        <w:rPr>
          <w:rFonts w:ascii="Times New Roman" w:eastAsia="TimesNewRomanPSMT" w:hAnsi="Times New Roman" w:cs="Times New Roman"/>
          <w:sz w:val="20"/>
          <w:szCs w:val="20"/>
        </w:rPr>
        <w:t xml:space="preserve"> </w:t>
      </w:r>
      <w:r w:rsidRPr="008A1160">
        <w:rPr>
          <w:rFonts w:ascii="Times New Roman" w:eastAsia="TimesNewRomanPSMT" w:hAnsi="Times New Roman" w:cs="Times New Roman"/>
          <w:sz w:val="20"/>
          <w:szCs w:val="20"/>
        </w:rPr>
        <w:t>dikkate alınması gereken bir konudur.</w:t>
      </w:r>
      <w:r>
        <w:rPr>
          <w:rFonts w:ascii="Times New Roman" w:eastAsia="TimesNewRomanPSMT" w:hAnsi="Times New Roman" w:cs="Times New Roman"/>
          <w:sz w:val="20"/>
          <w:szCs w:val="20"/>
        </w:rPr>
        <w:t xml:space="preserve"> </w:t>
      </w:r>
      <w:r w:rsidRPr="008A1160">
        <w:rPr>
          <w:rFonts w:ascii="Times New Roman" w:eastAsia="TimesNewRomanPSMT" w:hAnsi="Times New Roman" w:cs="Times New Roman"/>
          <w:sz w:val="20"/>
          <w:szCs w:val="20"/>
        </w:rPr>
        <w:t xml:space="preserve">TEHMAT karayolu, demiryolu, deniz yolu, hava yolu ve boru hatları olmak üzere beş farklı taşıma </w:t>
      </w:r>
      <w:proofErr w:type="spellStart"/>
      <w:r w:rsidRPr="008A1160">
        <w:rPr>
          <w:rFonts w:ascii="Times New Roman" w:eastAsia="TimesNewRomanPSMT" w:hAnsi="Times New Roman" w:cs="Times New Roman"/>
          <w:sz w:val="20"/>
          <w:szCs w:val="20"/>
        </w:rPr>
        <w:t>modu</w:t>
      </w:r>
      <w:proofErr w:type="spellEnd"/>
      <w:r w:rsidRPr="008A1160">
        <w:rPr>
          <w:rFonts w:ascii="Times New Roman" w:eastAsia="TimesNewRomanPSMT" w:hAnsi="Times New Roman" w:cs="Times New Roman"/>
          <w:sz w:val="20"/>
          <w:szCs w:val="20"/>
        </w:rPr>
        <w:t xml:space="preserve"> ile</w:t>
      </w:r>
      <w:r>
        <w:rPr>
          <w:rFonts w:ascii="Times New Roman" w:eastAsia="TimesNewRomanPSMT" w:hAnsi="Times New Roman" w:cs="Times New Roman"/>
          <w:sz w:val="20"/>
          <w:szCs w:val="20"/>
        </w:rPr>
        <w:t xml:space="preserve"> </w:t>
      </w:r>
      <w:r w:rsidRPr="008A1160">
        <w:rPr>
          <w:rFonts w:ascii="Times New Roman" w:eastAsia="TimesNewRomanPSMT" w:hAnsi="Times New Roman" w:cs="Times New Roman"/>
          <w:sz w:val="20"/>
          <w:szCs w:val="20"/>
        </w:rPr>
        <w:t>değerlendirilir. Türkiye’de yük veya mal taşımacılığının büyük bir kısmı karayolu ile gerçekleştirilmektedir ve dolayısıyla</w:t>
      </w:r>
      <w:r>
        <w:rPr>
          <w:rFonts w:ascii="Times New Roman" w:eastAsia="TimesNewRomanPSMT" w:hAnsi="Times New Roman" w:cs="Times New Roman"/>
          <w:sz w:val="20"/>
          <w:szCs w:val="20"/>
        </w:rPr>
        <w:t xml:space="preserve"> </w:t>
      </w:r>
      <w:proofErr w:type="spellStart"/>
      <w:r w:rsidRPr="008A1160">
        <w:rPr>
          <w:rFonts w:ascii="Times New Roman" w:eastAsia="TimesNewRomanPSMT" w:hAnsi="Times New Roman" w:cs="Times New Roman"/>
          <w:sz w:val="20"/>
          <w:szCs w:val="20"/>
        </w:rPr>
        <w:t>TEHMAT’nın</w:t>
      </w:r>
      <w:proofErr w:type="spellEnd"/>
      <w:r w:rsidRPr="008A1160">
        <w:rPr>
          <w:rFonts w:ascii="Times New Roman" w:eastAsia="TimesNewRomanPSMT" w:hAnsi="Times New Roman" w:cs="Times New Roman"/>
          <w:sz w:val="20"/>
          <w:szCs w:val="20"/>
        </w:rPr>
        <w:t xml:space="preserve"> da büyük bir bölümü karayolu ile yapılmaktadır. </w:t>
      </w:r>
      <w:proofErr w:type="spellStart"/>
      <w:r w:rsidRPr="008A1160">
        <w:rPr>
          <w:rFonts w:ascii="Times New Roman" w:eastAsia="TimesNewRomanPSMT" w:hAnsi="Times New Roman" w:cs="Times New Roman"/>
          <w:sz w:val="20"/>
          <w:szCs w:val="20"/>
        </w:rPr>
        <w:t>TEHMAT’ın</w:t>
      </w:r>
      <w:proofErr w:type="spellEnd"/>
      <w:r w:rsidRPr="008A1160">
        <w:rPr>
          <w:rFonts w:ascii="Times New Roman" w:eastAsia="TimesNewRomanPSMT" w:hAnsi="Times New Roman" w:cs="Times New Roman"/>
          <w:sz w:val="20"/>
          <w:szCs w:val="20"/>
        </w:rPr>
        <w:t xml:space="preserve"> büyüklüğü beraberinde kaza potansiyelini</w:t>
      </w:r>
      <w:r>
        <w:rPr>
          <w:rFonts w:ascii="Times New Roman" w:eastAsia="TimesNewRomanPSMT" w:hAnsi="Times New Roman" w:cs="Times New Roman"/>
          <w:sz w:val="20"/>
          <w:szCs w:val="20"/>
        </w:rPr>
        <w:t xml:space="preserve"> </w:t>
      </w:r>
      <w:r w:rsidRPr="008A1160">
        <w:rPr>
          <w:rFonts w:ascii="Times New Roman" w:eastAsia="TimesNewRomanPSMT" w:hAnsi="Times New Roman" w:cs="Times New Roman"/>
          <w:sz w:val="20"/>
          <w:szCs w:val="20"/>
        </w:rPr>
        <w:t xml:space="preserve">arttırmaktadır. Türkiye’de 2011 yılı istatistiklerine göre yük taşımacılığının %87,4’si karayolu </w:t>
      </w:r>
      <w:proofErr w:type="gramStart"/>
      <w:r w:rsidRPr="008A1160">
        <w:rPr>
          <w:rFonts w:ascii="Times New Roman" w:eastAsia="TimesNewRomanPSMT" w:hAnsi="Times New Roman" w:cs="Times New Roman"/>
          <w:sz w:val="20"/>
          <w:szCs w:val="20"/>
        </w:rPr>
        <w:t>ile,</w:t>
      </w:r>
      <w:proofErr w:type="gramEnd"/>
      <w:r w:rsidRPr="008A1160">
        <w:rPr>
          <w:rFonts w:ascii="Times New Roman" w:eastAsia="TimesNewRomanPSMT" w:hAnsi="Times New Roman" w:cs="Times New Roman"/>
          <w:sz w:val="20"/>
          <w:szCs w:val="20"/>
        </w:rPr>
        <w:t xml:space="preserve"> %6,9’u denizyolu ile, %5’i</w:t>
      </w:r>
      <w:r>
        <w:rPr>
          <w:rFonts w:ascii="Times New Roman" w:eastAsia="TimesNewRomanPSMT" w:hAnsi="Times New Roman" w:cs="Times New Roman"/>
          <w:sz w:val="20"/>
          <w:szCs w:val="20"/>
        </w:rPr>
        <w:t xml:space="preserve"> </w:t>
      </w:r>
      <w:r w:rsidRPr="008A1160">
        <w:rPr>
          <w:rFonts w:ascii="Times New Roman" w:eastAsia="TimesNewRomanPSMT" w:hAnsi="Times New Roman" w:cs="Times New Roman"/>
          <w:sz w:val="20"/>
          <w:szCs w:val="20"/>
        </w:rPr>
        <w:t xml:space="preserve">demiryolu ile yapılırken %0,7’si </w:t>
      </w:r>
      <w:r w:rsidR="00CB6C82">
        <w:rPr>
          <w:rFonts w:ascii="Times New Roman" w:eastAsia="TimesNewRomanPSMT" w:hAnsi="Times New Roman" w:cs="Times New Roman"/>
          <w:sz w:val="20"/>
          <w:szCs w:val="20"/>
        </w:rPr>
        <w:t>havayolu ile yapılmaktadır</w:t>
      </w:r>
      <w:r w:rsidRPr="008A1160">
        <w:rPr>
          <w:rFonts w:ascii="Times New Roman" w:eastAsia="TimesNewRomanPSMT" w:hAnsi="Times New Roman" w:cs="Times New Roman"/>
          <w:sz w:val="20"/>
          <w:szCs w:val="20"/>
        </w:rPr>
        <w:t xml:space="preserve">. </w:t>
      </w:r>
      <w:proofErr w:type="spellStart"/>
      <w:r w:rsidRPr="008A1160">
        <w:rPr>
          <w:rFonts w:ascii="Times New Roman" w:eastAsia="TimesNewRomanPSMT" w:hAnsi="Times New Roman" w:cs="Times New Roman"/>
          <w:sz w:val="20"/>
          <w:szCs w:val="20"/>
        </w:rPr>
        <w:t>TEHMAT’da</w:t>
      </w:r>
      <w:proofErr w:type="spellEnd"/>
      <w:r w:rsidRPr="008A1160">
        <w:rPr>
          <w:rFonts w:ascii="Times New Roman" w:eastAsia="TimesNewRomanPSMT" w:hAnsi="Times New Roman" w:cs="Times New Roman"/>
          <w:sz w:val="20"/>
          <w:szCs w:val="20"/>
        </w:rPr>
        <w:t xml:space="preserve"> oldukça büyük hacme sahip Amerika’da</w:t>
      </w:r>
      <w:r>
        <w:rPr>
          <w:rFonts w:ascii="Times New Roman" w:eastAsia="TimesNewRomanPSMT" w:hAnsi="Times New Roman" w:cs="Times New Roman"/>
          <w:sz w:val="20"/>
          <w:szCs w:val="20"/>
        </w:rPr>
        <w:t xml:space="preserve"> </w:t>
      </w:r>
      <w:r w:rsidRPr="008A1160">
        <w:rPr>
          <w:rFonts w:ascii="Times New Roman" w:eastAsia="TimesNewRomanPSMT" w:hAnsi="Times New Roman" w:cs="Times New Roman"/>
          <w:sz w:val="20"/>
          <w:szCs w:val="20"/>
        </w:rPr>
        <w:t>ise tehlikeli maddelerin çoğunluğu karayolu ve demiryolu ile taşınmaktadır. Amerika Bileşik Devletleri (ABD) Ulaştırma</w:t>
      </w:r>
      <w:r w:rsidR="007F5C8E">
        <w:rPr>
          <w:rFonts w:ascii="Times New Roman" w:eastAsia="TimesNewRomanPSMT" w:hAnsi="Times New Roman" w:cs="Times New Roman"/>
          <w:sz w:val="20"/>
          <w:szCs w:val="20"/>
        </w:rPr>
        <w:t xml:space="preserve"> </w:t>
      </w:r>
      <w:r w:rsidRPr="008A1160">
        <w:rPr>
          <w:rFonts w:ascii="Times New Roman" w:eastAsia="TimesNewRomanPSMT" w:hAnsi="Times New Roman" w:cs="Times New Roman"/>
          <w:sz w:val="20"/>
          <w:szCs w:val="20"/>
        </w:rPr>
        <w:t>Bakanlığına göre ülkede yılda taşınan tehlikeli madde miktarı 3,2 milyon tondan daha fazladır ve bakanlık her yıl bu miktarın</w:t>
      </w:r>
      <w:r w:rsidR="007F5C8E">
        <w:rPr>
          <w:rFonts w:ascii="Times New Roman" w:eastAsia="TimesNewRomanPSMT" w:hAnsi="Times New Roman" w:cs="Times New Roman"/>
          <w:sz w:val="20"/>
          <w:szCs w:val="20"/>
        </w:rPr>
        <w:t xml:space="preserve"> </w:t>
      </w:r>
      <w:r w:rsidR="00CB6C82">
        <w:rPr>
          <w:rFonts w:ascii="Times New Roman" w:eastAsia="TimesNewRomanPSMT" w:hAnsi="Times New Roman" w:cs="Times New Roman"/>
          <w:sz w:val="20"/>
          <w:szCs w:val="20"/>
        </w:rPr>
        <w:t>%2 artacağını öngörmektedir</w:t>
      </w:r>
      <w:r w:rsidRPr="008A1160">
        <w:rPr>
          <w:rFonts w:ascii="Times New Roman" w:eastAsia="TimesNewRomanPSMT" w:hAnsi="Times New Roman" w:cs="Times New Roman"/>
          <w:sz w:val="20"/>
          <w:szCs w:val="20"/>
        </w:rPr>
        <w:t>. Amerika’da tehlikeli maddelerin %94’ü karayolu vasıtasıyla</w:t>
      </w:r>
      <w:r w:rsidR="00CB6C82">
        <w:rPr>
          <w:rFonts w:ascii="Times New Roman" w:eastAsia="TimesNewRomanPSMT" w:hAnsi="Times New Roman" w:cs="Times New Roman"/>
          <w:sz w:val="20"/>
          <w:szCs w:val="20"/>
        </w:rPr>
        <w:t xml:space="preserve"> </w:t>
      </w:r>
      <w:r w:rsidRPr="008A1160">
        <w:rPr>
          <w:rFonts w:ascii="Times New Roman" w:eastAsia="TimesNewRomanPSMT" w:hAnsi="Times New Roman" w:cs="Times New Roman"/>
          <w:sz w:val="20"/>
          <w:szCs w:val="20"/>
        </w:rPr>
        <w:t xml:space="preserve">kamyonlarla taşınırken, bu oran toplam </w:t>
      </w:r>
      <w:proofErr w:type="spellStart"/>
      <w:r w:rsidRPr="008A1160">
        <w:rPr>
          <w:rFonts w:ascii="Times New Roman" w:eastAsia="TimesNewRomanPSMT" w:hAnsi="Times New Roman" w:cs="Times New Roman"/>
          <w:sz w:val="20"/>
          <w:szCs w:val="20"/>
        </w:rPr>
        <w:t>TEHMAT’ın</w:t>
      </w:r>
      <w:proofErr w:type="spellEnd"/>
      <w:r w:rsidRPr="008A1160">
        <w:rPr>
          <w:rFonts w:ascii="Times New Roman" w:eastAsia="TimesNewRomanPSMT" w:hAnsi="Times New Roman" w:cs="Times New Roman"/>
          <w:sz w:val="20"/>
          <w:szCs w:val="20"/>
        </w:rPr>
        <w:t xml:space="preserve"> %43’ünü oluşturmaktadır. Toplam </w:t>
      </w:r>
      <w:proofErr w:type="spellStart"/>
      <w:r w:rsidRPr="008A1160">
        <w:rPr>
          <w:rFonts w:ascii="Times New Roman" w:eastAsia="TimesNewRomanPSMT" w:hAnsi="Times New Roman" w:cs="Times New Roman"/>
          <w:sz w:val="20"/>
          <w:szCs w:val="20"/>
        </w:rPr>
        <w:t>TEHMAT’nın</w:t>
      </w:r>
      <w:proofErr w:type="spellEnd"/>
      <w:r w:rsidRPr="008A1160">
        <w:rPr>
          <w:rFonts w:ascii="Times New Roman" w:eastAsia="TimesNewRomanPSMT" w:hAnsi="Times New Roman" w:cs="Times New Roman"/>
          <w:sz w:val="20"/>
          <w:szCs w:val="20"/>
        </w:rPr>
        <w:t xml:space="preserve"> %53’ü ise demiryolu,</w:t>
      </w:r>
      <w:r w:rsidR="007F5C8E">
        <w:rPr>
          <w:rFonts w:ascii="Times New Roman" w:eastAsia="TimesNewRomanPSMT" w:hAnsi="Times New Roman" w:cs="Times New Roman"/>
          <w:sz w:val="20"/>
          <w:szCs w:val="20"/>
        </w:rPr>
        <w:t xml:space="preserve"> </w:t>
      </w:r>
      <w:r w:rsidRPr="008A1160">
        <w:rPr>
          <w:rFonts w:ascii="Times New Roman" w:eastAsia="TimesNewRomanPSMT" w:hAnsi="Times New Roman" w:cs="Times New Roman"/>
          <w:sz w:val="20"/>
          <w:szCs w:val="20"/>
        </w:rPr>
        <w:t>denizyolu ve boru hatları ile taşınırken, Amerika’da bu vasıtalar kullanılarak yapılan taşıma %1’lik bir oran oluşturmaktadır.</w:t>
      </w:r>
      <w:r w:rsidR="007F5C8E">
        <w:rPr>
          <w:rFonts w:ascii="Times New Roman" w:eastAsia="TimesNewRomanPSMT" w:hAnsi="Times New Roman" w:cs="Times New Roman"/>
          <w:sz w:val="20"/>
          <w:szCs w:val="20"/>
        </w:rPr>
        <w:t xml:space="preserve"> </w:t>
      </w:r>
      <w:r w:rsidRPr="008A1160">
        <w:rPr>
          <w:rFonts w:ascii="Times New Roman" w:eastAsia="TimesNewRomanPSMT" w:hAnsi="Times New Roman" w:cs="Times New Roman"/>
          <w:sz w:val="20"/>
          <w:szCs w:val="20"/>
        </w:rPr>
        <w:t xml:space="preserve">Demir yolu ile </w:t>
      </w:r>
      <w:proofErr w:type="spellStart"/>
      <w:r w:rsidRPr="008A1160">
        <w:rPr>
          <w:rFonts w:ascii="Times New Roman" w:eastAsia="TimesNewRomanPSMT" w:hAnsi="Times New Roman" w:cs="Times New Roman"/>
          <w:sz w:val="20"/>
          <w:szCs w:val="20"/>
        </w:rPr>
        <w:t>TEHMAT’nda</w:t>
      </w:r>
      <w:proofErr w:type="spellEnd"/>
      <w:r w:rsidRPr="008A1160">
        <w:rPr>
          <w:rFonts w:ascii="Times New Roman" w:eastAsia="TimesNewRomanPSMT" w:hAnsi="Times New Roman" w:cs="Times New Roman"/>
          <w:sz w:val="20"/>
          <w:szCs w:val="20"/>
        </w:rPr>
        <w:t xml:space="preserve"> taşınan miktar fazla olduğundan vereceği zarar fazla görünse de karayollarının özellikle</w:t>
      </w:r>
      <w:r w:rsidR="007F5C8E">
        <w:rPr>
          <w:rFonts w:ascii="Times New Roman" w:eastAsia="TimesNewRomanPSMT" w:hAnsi="Times New Roman" w:cs="Times New Roman"/>
          <w:sz w:val="20"/>
          <w:szCs w:val="20"/>
        </w:rPr>
        <w:t xml:space="preserve"> </w:t>
      </w:r>
      <w:r w:rsidRPr="008A1160">
        <w:rPr>
          <w:rFonts w:ascii="Times New Roman" w:eastAsia="TimesNewRomanPSMT" w:hAnsi="Times New Roman" w:cs="Times New Roman"/>
          <w:sz w:val="20"/>
          <w:szCs w:val="20"/>
        </w:rPr>
        <w:t>de gelişmekte olan ülkelerde nüfusun fazla olduğu bölgelerden geçtiği düşünüldüğünde, tehlikeli maddelerin karayolu ile</w:t>
      </w:r>
      <w:r w:rsidR="007F5C8E">
        <w:rPr>
          <w:rFonts w:ascii="Times New Roman" w:eastAsia="TimesNewRomanPSMT" w:hAnsi="Times New Roman" w:cs="Times New Roman"/>
          <w:sz w:val="20"/>
          <w:szCs w:val="20"/>
        </w:rPr>
        <w:t xml:space="preserve"> </w:t>
      </w:r>
      <w:r w:rsidR="007F5C8E" w:rsidRPr="007F5C8E">
        <w:rPr>
          <w:rFonts w:ascii="Times New Roman" w:eastAsia="TimesNewRomanPSMT" w:hAnsi="Times New Roman" w:cs="Times New Roman"/>
          <w:sz w:val="20"/>
          <w:szCs w:val="20"/>
        </w:rPr>
        <w:t xml:space="preserve">taşınmasında çevreye ve insanlara vereceği zarar daha fazla </w:t>
      </w:r>
      <w:proofErr w:type="gramStart"/>
      <w:r w:rsidR="007F5C8E" w:rsidRPr="007F5C8E">
        <w:rPr>
          <w:rFonts w:ascii="Times New Roman" w:eastAsia="TimesNewRomanPSMT" w:hAnsi="Times New Roman" w:cs="Times New Roman"/>
          <w:sz w:val="20"/>
          <w:szCs w:val="20"/>
        </w:rPr>
        <w:t>olmaktadır .</w:t>
      </w:r>
      <w:proofErr w:type="gramEnd"/>
      <w:r w:rsidR="007F5C8E" w:rsidRPr="007F5C8E">
        <w:rPr>
          <w:rFonts w:ascii="Times New Roman" w:eastAsia="TimesNewRomanPSMT" w:hAnsi="Times New Roman" w:cs="Times New Roman"/>
          <w:sz w:val="20"/>
          <w:szCs w:val="20"/>
        </w:rPr>
        <w:t xml:space="preserve"> Bu durumda </w:t>
      </w:r>
      <w:proofErr w:type="spellStart"/>
      <w:r w:rsidR="007F5C8E" w:rsidRPr="007F5C8E">
        <w:rPr>
          <w:rFonts w:ascii="Times New Roman" w:eastAsia="TimesNewRomanPSMT" w:hAnsi="Times New Roman" w:cs="Times New Roman"/>
          <w:sz w:val="20"/>
          <w:szCs w:val="20"/>
        </w:rPr>
        <w:t>TEHMAT’nda</w:t>
      </w:r>
      <w:proofErr w:type="spellEnd"/>
      <w:r w:rsidR="007F5C8E" w:rsidRPr="007F5C8E">
        <w:rPr>
          <w:rFonts w:ascii="Times New Roman" w:eastAsia="TimesNewRomanPSMT" w:hAnsi="Times New Roman" w:cs="Times New Roman"/>
          <w:sz w:val="20"/>
          <w:szCs w:val="20"/>
        </w:rPr>
        <w:t xml:space="preserve"> en</w:t>
      </w:r>
      <w:r w:rsidR="007F5C8E">
        <w:rPr>
          <w:rFonts w:ascii="Times New Roman" w:eastAsia="TimesNewRomanPSMT" w:hAnsi="Times New Roman" w:cs="Times New Roman"/>
          <w:sz w:val="20"/>
          <w:szCs w:val="20"/>
        </w:rPr>
        <w:t xml:space="preserve"> </w:t>
      </w:r>
      <w:r w:rsidR="007F5C8E" w:rsidRPr="007F5C8E">
        <w:rPr>
          <w:rFonts w:ascii="Times New Roman" w:eastAsia="TimesNewRomanPSMT" w:hAnsi="Times New Roman" w:cs="Times New Roman"/>
          <w:sz w:val="20"/>
          <w:szCs w:val="20"/>
        </w:rPr>
        <w:t>fazla kaza riski potansiyelinin karayolu taşımacılığında olduğu söylenebilir. TEHMAT kazalarının ciddiliği dikkate alındığında</w:t>
      </w:r>
      <w:r w:rsidR="00CB6C82">
        <w:rPr>
          <w:rFonts w:ascii="Times New Roman" w:eastAsia="TimesNewRomanPSMT" w:hAnsi="Times New Roman" w:cs="Times New Roman"/>
          <w:sz w:val="20"/>
          <w:szCs w:val="20"/>
        </w:rPr>
        <w:t xml:space="preserve"> </w:t>
      </w:r>
      <w:r w:rsidR="007F5C8E" w:rsidRPr="007F5C8E">
        <w:rPr>
          <w:rFonts w:ascii="Times New Roman" w:eastAsia="TimesNewRomanPSMT" w:hAnsi="Times New Roman" w:cs="Times New Roman"/>
          <w:sz w:val="20"/>
          <w:szCs w:val="20"/>
        </w:rPr>
        <w:t>TEHMAT risk değerlendirmesine ve yönetimine özen gösterilmesi gerekmektedir.</w:t>
      </w:r>
      <w:r w:rsidR="007F5C8E">
        <w:rPr>
          <w:rFonts w:ascii="Times New Roman" w:eastAsia="TimesNewRomanPSMT" w:hAnsi="Times New Roman" w:cs="Times New Roman"/>
          <w:sz w:val="20"/>
          <w:szCs w:val="20"/>
        </w:rPr>
        <w:t xml:space="preserve"> </w:t>
      </w:r>
      <w:r w:rsidR="007F5C8E" w:rsidRPr="007F5C8E">
        <w:rPr>
          <w:rFonts w:ascii="Times New Roman" w:eastAsia="TimesNewRomanPSMT" w:hAnsi="Times New Roman" w:cs="Times New Roman"/>
          <w:sz w:val="20"/>
          <w:szCs w:val="20"/>
        </w:rPr>
        <w:t>Tehlikeli maddelerin uluslararası taşımacılığına ilişkin yasal düzenleme getirebilmek maksadıyla Birleşmiş Milletler</w:t>
      </w:r>
      <w:r w:rsidR="007F5C8E">
        <w:rPr>
          <w:rFonts w:ascii="Times New Roman" w:eastAsia="TimesNewRomanPSMT" w:hAnsi="Times New Roman" w:cs="Times New Roman"/>
          <w:sz w:val="20"/>
          <w:szCs w:val="20"/>
        </w:rPr>
        <w:t xml:space="preserve"> </w:t>
      </w:r>
      <w:r w:rsidR="007F5C8E" w:rsidRPr="007F5C8E">
        <w:rPr>
          <w:rFonts w:ascii="Times New Roman" w:eastAsia="TimesNewRomanPSMT" w:hAnsi="Times New Roman" w:cs="Times New Roman"/>
          <w:sz w:val="20"/>
          <w:szCs w:val="20"/>
        </w:rPr>
        <w:t>Avrupa Ekonomik Topluluğu’nun gözetimi altında, Tehlikeli Maddelerin Karayolu ile Taşınmasına İlişkin Avrupa Sözleşmesi</w:t>
      </w:r>
      <w:r w:rsidR="007F5C8E">
        <w:rPr>
          <w:rFonts w:ascii="Times New Roman" w:eastAsia="TimesNewRomanPSMT" w:hAnsi="Times New Roman" w:cs="Times New Roman"/>
          <w:sz w:val="20"/>
          <w:szCs w:val="20"/>
        </w:rPr>
        <w:t xml:space="preserve"> </w:t>
      </w:r>
      <w:r w:rsidR="00CB6C82">
        <w:rPr>
          <w:rFonts w:ascii="Times New Roman" w:eastAsia="TimesNewRomanPSMT" w:hAnsi="Times New Roman" w:cs="Times New Roman"/>
          <w:sz w:val="20"/>
          <w:szCs w:val="20"/>
        </w:rPr>
        <w:t>1</w:t>
      </w:r>
      <w:r w:rsidR="007F5C8E" w:rsidRPr="007F5C8E">
        <w:rPr>
          <w:rFonts w:ascii="Times New Roman" w:eastAsia="TimesNewRomanPSMT" w:hAnsi="Times New Roman" w:cs="Times New Roman"/>
          <w:sz w:val="20"/>
          <w:szCs w:val="20"/>
        </w:rPr>
        <w:t>957 yılında Cenevre’de yapılmış ve 1968 yılında yürürlüğe</w:t>
      </w:r>
      <w:r w:rsidR="007F5C8E">
        <w:rPr>
          <w:rFonts w:ascii="Times New Roman" w:eastAsia="TimesNewRomanPSMT" w:hAnsi="Times New Roman" w:cs="Times New Roman"/>
          <w:sz w:val="20"/>
          <w:szCs w:val="20"/>
        </w:rPr>
        <w:t xml:space="preserve"> </w:t>
      </w:r>
      <w:r w:rsidR="00CB6C82">
        <w:rPr>
          <w:rFonts w:ascii="Times New Roman" w:eastAsia="TimesNewRomanPSMT" w:hAnsi="Times New Roman" w:cs="Times New Roman"/>
          <w:sz w:val="20"/>
          <w:szCs w:val="20"/>
        </w:rPr>
        <w:t>girmiştir</w:t>
      </w:r>
      <w:r w:rsidR="007F5C8E" w:rsidRPr="007F5C8E">
        <w:rPr>
          <w:rFonts w:ascii="Times New Roman" w:eastAsia="TimesNewRomanPSMT" w:hAnsi="Times New Roman" w:cs="Times New Roman"/>
          <w:sz w:val="20"/>
          <w:szCs w:val="20"/>
        </w:rPr>
        <w:t xml:space="preserve">. ADR’ ye göre dokuz temel tehlikeli madde sınıfı mevcuttur. Bunlar; </w:t>
      </w:r>
    </w:p>
    <w:p w:rsidR="007F5C8E"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p>
    <w:p w:rsidR="007F5C8E"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t>Sınıf 1: Patlayıcı maddeler ve nesneler,</w:t>
      </w:r>
      <w:r>
        <w:rPr>
          <w:rFonts w:ascii="Times New Roman" w:eastAsia="TimesNewRomanPSMT" w:hAnsi="Times New Roman" w:cs="Times New Roman"/>
          <w:sz w:val="20"/>
          <w:szCs w:val="20"/>
        </w:rPr>
        <w:t xml:space="preserve"> </w:t>
      </w:r>
    </w:p>
    <w:p w:rsidR="007F5C8E"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t xml:space="preserve">Sınıf 2: Gazlar: sıkıştırılmış, sıvılaştırılmış veya basınç altında çözünmüş, </w:t>
      </w:r>
    </w:p>
    <w:p w:rsidR="007F5C8E"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t xml:space="preserve">Sınıf 3: Tutuşucu sıvılar, </w:t>
      </w:r>
    </w:p>
    <w:p w:rsidR="007F5C8E"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t xml:space="preserve">Sınıf 4.1: Tutuşucu </w:t>
      </w:r>
      <w:proofErr w:type="gramStart"/>
      <w:r w:rsidRPr="007F5C8E">
        <w:rPr>
          <w:rFonts w:ascii="Times New Roman" w:eastAsia="TimesNewRomanPSMT" w:hAnsi="Times New Roman" w:cs="Times New Roman"/>
          <w:sz w:val="20"/>
          <w:szCs w:val="20"/>
        </w:rPr>
        <w:t>katılar,kendiliğinden</w:t>
      </w:r>
      <w:proofErr w:type="gramEnd"/>
      <w:r w:rsidRPr="007F5C8E">
        <w:rPr>
          <w:rFonts w:ascii="Times New Roman" w:eastAsia="TimesNewRomanPSMT" w:hAnsi="Times New Roman" w:cs="Times New Roman"/>
          <w:sz w:val="20"/>
          <w:szCs w:val="20"/>
        </w:rPr>
        <w:t xml:space="preserve"> reaktif maddeler ve katı duyarsızlaştırılmış patlayıcılar, </w:t>
      </w:r>
    </w:p>
    <w:p w:rsidR="007F5C8E"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t xml:space="preserve">Sınıf </w:t>
      </w:r>
      <w:proofErr w:type="gramStart"/>
      <w:r w:rsidRPr="007F5C8E">
        <w:rPr>
          <w:rFonts w:ascii="Times New Roman" w:eastAsia="TimesNewRomanPSMT" w:hAnsi="Times New Roman" w:cs="Times New Roman"/>
          <w:sz w:val="20"/>
          <w:szCs w:val="20"/>
        </w:rPr>
        <w:t>4.2</w:t>
      </w:r>
      <w:proofErr w:type="gramEnd"/>
      <w:r w:rsidRPr="007F5C8E">
        <w:rPr>
          <w:rFonts w:ascii="Times New Roman" w:eastAsia="TimesNewRomanPSMT" w:hAnsi="Times New Roman" w:cs="Times New Roman"/>
          <w:sz w:val="20"/>
          <w:szCs w:val="20"/>
        </w:rPr>
        <w:t xml:space="preserve">: Kendiliğinden yanmaya yatkın maddeler, </w:t>
      </w:r>
    </w:p>
    <w:p w:rsidR="000A7B46"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t xml:space="preserve">Sınıf4.3: Su ile temas ettiğinde tutuşucu gazlar çıkartan maddeler, </w:t>
      </w:r>
    </w:p>
    <w:p w:rsidR="000A7B46"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t xml:space="preserve">Sınıf </w:t>
      </w:r>
      <w:proofErr w:type="gramStart"/>
      <w:r w:rsidRPr="007F5C8E">
        <w:rPr>
          <w:rFonts w:ascii="Times New Roman" w:eastAsia="TimesNewRomanPSMT" w:hAnsi="Times New Roman" w:cs="Times New Roman"/>
          <w:sz w:val="20"/>
          <w:szCs w:val="20"/>
        </w:rPr>
        <w:t>5.1</w:t>
      </w:r>
      <w:proofErr w:type="gramEnd"/>
      <w:r w:rsidRPr="007F5C8E">
        <w:rPr>
          <w:rFonts w:ascii="Times New Roman" w:eastAsia="TimesNewRomanPSMT" w:hAnsi="Times New Roman" w:cs="Times New Roman"/>
          <w:sz w:val="20"/>
          <w:szCs w:val="20"/>
        </w:rPr>
        <w:t xml:space="preserve">: Yükseltgen maddeler, </w:t>
      </w:r>
    </w:p>
    <w:p w:rsidR="007F5C8E" w:rsidRPr="007F5C8E"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t xml:space="preserve">Sınıf </w:t>
      </w:r>
      <w:proofErr w:type="gramStart"/>
      <w:r w:rsidRPr="007F5C8E">
        <w:rPr>
          <w:rFonts w:ascii="Times New Roman" w:eastAsia="TimesNewRomanPSMT" w:hAnsi="Times New Roman" w:cs="Times New Roman"/>
          <w:sz w:val="20"/>
          <w:szCs w:val="20"/>
        </w:rPr>
        <w:t>5.2</w:t>
      </w:r>
      <w:proofErr w:type="gramEnd"/>
      <w:r w:rsidRPr="007F5C8E">
        <w:rPr>
          <w:rFonts w:ascii="Times New Roman" w:eastAsia="TimesNewRomanPSMT" w:hAnsi="Times New Roman" w:cs="Times New Roman"/>
          <w:sz w:val="20"/>
          <w:szCs w:val="20"/>
        </w:rPr>
        <w:t>: Organik peroksitler,</w:t>
      </w:r>
    </w:p>
    <w:p w:rsidR="000A7B46"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t xml:space="preserve">Sınıf </w:t>
      </w:r>
      <w:proofErr w:type="gramStart"/>
      <w:r w:rsidRPr="007F5C8E">
        <w:rPr>
          <w:rFonts w:ascii="Times New Roman" w:eastAsia="TimesNewRomanPSMT" w:hAnsi="Times New Roman" w:cs="Times New Roman"/>
          <w:sz w:val="20"/>
          <w:szCs w:val="20"/>
        </w:rPr>
        <w:t>6.1</w:t>
      </w:r>
      <w:proofErr w:type="gramEnd"/>
      <w:r w:rsidRPr="007F5C8E">
        <w:rPr>
          <w:rFonts w:ascii="Times New Roman" w:eastAsia="TimesNewRomanPSMT" w:hAnsi="Times New Roman" w:cs="Times New Roman"/>
          <w:sz w:val="20"/>
          <w:szCs w:val="20"/>
        </w:rPr>
        <w:t xml:space="preserve">: Zehirleyici maddeler, </w:t>
      </w:r>
    </w:p>
    <w:p w:rsidR="000A7B46"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t xml:space="preserve">Sınıf </w:t>
      </w:r>
      <w:proofErr w:type="gramStart"/>
      <w:r w:rsidRPr="007F5C8E">
        <w:rPr>
          <w:rFonts w:ascii="Times New Roman" w:eastAsia="TimesNewRomanPSMT" w:hAnsi="Times New Roman" w:cs="Times New Roman"/>
          <w:sz w:val="20"/>
          <w:szCs w:val="20"/>
        </w:rPr>
        <w:t>6.2</w:t>
      </w:r>
      <w:proofErr w:type="gramEnd"/>
      <w:r w:rsidRPr="007F5C8E">
        <w:rPr>
          <w:rFonts w:ascii="Times New Roman" w:eastAsia="TimesNewRomanPSMT" w:hAnsi="Times New Roman" w:cs="Times New Roman"/>
          <w:sz w:val="20"/>
          <w:szCs w:val="20"/>
        </w:rPr>
        <w:t xml:space="preserve">: Radyoaktif maddeler, </w:t>
      </w:r>
    </w:p>
    <w:p w:rsidR="000A7B46"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t xml:space="preserve">Sınıf 7: Bulaştırıcı maddeler, </w:t>
      </w:r>
    </w:p>
    <w:p w:rsidR="000A7B46"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t>Sınıf 8: Aşındırıcı maddeler</w:t>
      </w:r>
      <w:r w:rsidR="00CB6C82">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 xml:space="preserve">(asidik ve bazik), </w:t>
      </w:r>
    </w:p>
    <w:p w:rsidR="007F5C8E"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t>Sınıf 9: Çeşitli tehlikeli maddeler ve nesnelerdir (tehlikeli atıklar).</w:t>
      </w:r>
    </w:p>
    <w:p w:rsidR="000A7B46" w:rsidRPr="007F5C8E" w:rsidRDefault="000A7B46" w:rsidP="007F5C8E">
      <w:pPr>
        <w:autoSpaceDE w:val="0"/>
        <w:autoSpaceDN w:val="0"/>
        <w:adjustRightInd w:val="0"/>
        <w:spacing w:after="0" w:line="240" w:lineRule="auto"/>
        <w:rPr>
          <w:rFonts w:ascii="Times New Roman" w:eastAsia="TimesNewRomanPSMT" w:hAnsi="Times New Roman" w:cs="Times New Roman"/>
          <w:sz w:val="20"/>
          <w:szCs w:val="20"/>
        </w:rPr>
      </w:pPr>
    </w:p>
    <w:p w:rsidR="007F5C8E" w:rsidRPr="007F5C8E"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lastRenderedPageBreak/>
        <w:t>Bu sınıf tehlikeli maddeler içerisinde Sınıf 3: Tutuşucu sıvılar % 48.44 oranla ve Sınıf 8: Aşındırıcı maddeler (asidik ve</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bazik) ise % 25 oranla kaza/olay risklerinde en büyük paya sahiptir. Ayrıca beyaz/siyah yakıt ürünleri de tehlikeli maddelerin</w:t>
      </w:r>
      <w:r w:rsidR="000A7B46">
        <w:rPr>
          <w:rFonts w:ascii="Times New Roman" w:eastAsia="TimesNewRomanPSMT" w:hAnsi="Times New Roman" w:cs="Times New Roman"/>
          <w:sz w:val="20"/>
          <w:szCs w:val="20"/>
        </w:rPr>
        <w:t xml:space="preserve"> </w:t>
      </w:r>
      <w:r w:rsidR="00CB6C82">
        <w:rPr>
          <w:rFonts w:ascii="Times New Roman" w:eastAsia="TimesNewRomanPSMT" w:hAnsi="Times New Roman" w:cs="Times New Roman"/>
          <w:sz w:val="20"/>
          <w:szCs w:val="20"/>
        </w:rPr>
        <w:t>bu sınıfına dâhildir</w:t>
      </w:r>
      <w:r w:rsidRPr="007F5C8E">
        <w:rPr>
          <w:rFonts w:ascii="Times New Roman" w:eastAsia="TimesNewRomanPSMT" w:hAnsi="Times New Roman" w:cs="Times New Roman"/>
          <w:sz w:val="20"/>
          <w:szCs w:val="20"/>
        </w:rPr>
        <w:t>. Diğer yandan yanıcı ve parlayıcı sıvı tipindeki yakıtlar tehlikeli maddeler içerisinde en büyük</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miktara sahiptir. Bu yüzden akaryakıtların taşınması oldukça önemlidir.</w:t>
      </w:r>
    </w:p>
    <w:p w:rsidR="000A7B46"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proofErr w:type="spellStart"/>
      <w:r w:rsidRPr="007F5C8E">
        <w:rPr>
          <w:rFonts w:ascii="Times New Roman" w:eastAsia="TimesNewRomanPSMT" w:hAnsi="Times New Roman" w:cs="Times New Roman"/>
          <w:sz w:val="20"/>
          <w:szCs w:val="20"/>
        </w:rPr>
        <w:t>TEHMAT’nın</w:t>
      </w:r>
      <w:proofErr w:type="spellEnd"/>
      <w:r w:rsidRPr="007F5C8E">
        <w:rPr>
          <w:rFonts w:ascii="Times New Roman" w:eastAsia="TimesNewRomanPSMT" w:hAnsi="Times New Roman" w:cs="Times New Roman"/>
          <w:sz w:val="20"/>
          <w:szCs w:val="20"/>
        </w:rPr>
        <w:t xml:space="preserve"> insanlara ve çevreye karşı olan zararlarının azaltılması büyük öneme sahiptir. </w:t>
      </w:r>
    </w:p>
    <w:p w:rsidR="000A7B46" w:rsidRDefault="000A7B46" w:rsidP="007F5C8E">
      <w:pPr>
        <w:autoSpaceDE w:val="0"/>
        <w:autoSpaceDN w:val="0"/>
        <w:adjustRightInd w:val="0"/>
        <w:spacing w:after="0" w:line="240" w:lineRule="auto"/>
        <w:rPr>
          <w:rFonts w:ascii="Times New Roman" w:eastAsia="TimesNewRomanPSMT" w:hAnsi="Times New Roman" w:cs="Times New Roman"/>
          <w:sz w:val="20"/>
          <w:szCs w:val="20"/>
        </w:rPr>
      </w:pPr>
    </w:p>
    <w:p w:rsidR="007F5C8E" w:rsidRPr="007F5C8E"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t>Bu noktada, TEHMAT</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için risk analizinin yapılması ve risk değerlendirmesine bağlı olarak yapılacak taşımacılığın risk sınıfının belirlenmesine</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ihtiyaç duyulmaktadır. Böylece risk derecesinin yüksek olduğu tespit edilen taşımacılıklar için iptal kararı alınabilir veya</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riskin azaltılmasına yönelik ilave tedbirler alınarak olası kazalarda meydana gelebilecek zararların azaltılması sağlanabilir.</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Bu kapsamda, 1980’lerde araştırmacılar bir kısım risk değerlendirme modelleri ve yol seçim metotları ortaya koydular. ABD</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 xml:space="preserve">Ulaştırma Bakanlığı TEHMAT risk değerlendirmesi için bir dizi rehber </w:t>
      </w:r>
      <w:proofErr w:type="gramStart"/>
      <w:r w:rsidRPr="007F5C8E">
        <w:rPr>
          <w:rFonts w:ascii="Times New Roman" w:eastAsia="TimesNewRomanPSMT" w:hAnsi="Times New Roman" w:cs="Times New Roman"/>
          <w:sz w:val="20"/>
          <w:szCs w:val="20"/>
        </w:rPr>
        <w:t>hazırladı .</w:t>
      </w:r>
      <w:proofErr w:type="gramEnd"/>
      <w:r w:rsidRPr="007F5C8E">
        <w:rPr>
          <w:rFonts w:ascii="Times New Roman" w:eastAsia="TimesNewRomanPSMT" w:hAnsi="Times New Roman" w:cs="Times New Roman"/>
          <w:sz w:val="20"/>
          <w:szCs w:val="20"/>
        </w:rPr>
        <w:t xml:space="preserve"> 1990’larda</w:t>
      </w:r>
      <w:r w:rsidR="000A7B46">
        <w:rPr>
          <w:rFonts w:ascii="Times New Roman" w:eastAsia="TimesNewRomanPSMT" w:hAnsi="Times New Roman" w:cs="Times New Roman"/>
          <w:sz w:val="20"/>
          <w:szCs w:val="20"/>
        </w:rPr>
        <w:t xml:space="preserve"> </w:t>
      </w:r>
      <w:proofErr w:type="spellStart"/>
      <w:r w:rsidRPr="007F5C8E">
        <w:rPr>
          <w:rFonts w:ascii="Times New Roman" w:eastAsia="TimesNewRomanPSMT" w:hAnsi="Times New Roman" w:cs="Times New Roman"/>
          <w:sz w:val="20"/>
          <w:szCs w:val="20"/>
        </w:rPr>
        <w:t>Bonvicini</w:t>
      </w:r>
      <w:proofErr w:type="spellEnd"/>
      <w:r w:rsidRPr="007F5C8E">
        <w:rPr>
          <w:rFonts w:ascii="Times New Roman" w:eastAsia="TimesNewRomanPSMT" w:hAnsi="Times New Roman" w:cs="Times New Roman"/>
          <w:sz w:val="20"/>
          <w:szCs w:val="20"/>
        </w:rPr>
        <w:t xml:space="preserve"> </w:t>
      </w:r>
      <w:proofErr w:type="spellStart"/>
      <w:r w:rsidRPr="007F5C8E">
        <w:rPr>
          <w:rFonts w:ascii="Times New Roman" w:eastAsia="TimesNewRomanPSMT" w:hAnsi="Times New Roman" w:cs="Times New Roman"/>
          <w:sz w:val="20"/>
          <w:szCs w:val="20"/>
        </w:rPr>
        <w:t>vd</w:t>
      </w:r>
      <w:proofErr w:type="spellEnd"/>
      <w:r w:rsidRPr="007F5C8E">
        <w:rPr>
          <w:rFonts w:ascii="Times New Roman" w:eastAsia="TimesNewRomanPSMT" w:hAnsi="Times New Roman" w:cs="Times New Roman"/>
          <w:sz w:val="20"/>
          <w:szCs w:val="20"/>
        </w:rPr>
        <w:t xml:space="preserve">. (1998) ve </w:t>
      </w:r>
      <w:proofErr w:type="spellStart"/>
      <w:r w:rsidRPr="007F5C8E">
        <w:rPr>
          <w:rFonts w:ascii="Times New Roman" w:eastAsia="TimesNewRomanPSMT" w:hAnsi="Times New Roman" w:cs="Times New Roman"/>
          <w:sz w:val="20"/>
          <w:szCs w:val="20"/>
        </w:rPr>
        <w:t>Leonelli</w:t>
      </w:r>
      <w:proofErr w:type="spellEnd"/>
      <w:r w:rsidRPr="007F5C8E">
        <w:rPr>
          <w:rFonts w:ascii="Times New Roman" w:eastAsia="TimesNewRomanPSMT" w:hAnsi="Times New Roman" w:cs="Times New Roman"/>
          <w:sz w:val="20"/>
          <w:szCs w:val="20"/>
        </w:rPr>
        <w:t xml:space="preserve"> </w:t>
      </w:r>
      <w:proofErr w:type="spellStart"/>
      <w:r w:rsidRPr="007F5C8E">
        <w:rPr>
          <w:rFonts w:ascii="Times New Roman" w:eastAsia="TimesNewRomanPSMT" w:hAnsi="Times New Roman" w:cs="Times New Roman"/>
          <w:sz w:val="20"/>
          <w:szCs w:val="20"/>
        </w:rPr>
        <w:t>vd</w:t>
      </w:r>
      <w:proofErr w:type="spellEnd"/>
      <w:r w:rsidRPr="007F5C8E">
        <w:rPr>
          <w:rFonts w:ascii="Times New Roman" w:eastAsia="TimesNewRomanPSMT" w:hAnsi="Times New Roman" w:cs="Times New Roman"/>
          <w:sz w:val="20"/>
          <w:szCs w:val="20"/>
        </w:rPr>
        <w:t xml:space="preserve">. (1999) </w:t>
      </w:r>
      <w:proofErr w:type="spellStart"/>
      <w:r w:rsidRPr="007F5C8E">
        <w:rPr>
          <w:rFonts w:ascii="Times New Roman" w:eastAsia="TimesNewRomanPSMT" w:hAnsi="Times New Roman" w:cs="Times New Roman"/>
          <w:sz w:val="20"/>
          <w:szCs w:val="20"/>
        </w:rPr>
        <w:t>TEHMAT’ta</w:t>
      </w:r>
      <w:proofErr w:type="spellEnd"/>
      <w:r w:rsidRPr="007F5C8E">
        <w:rPr>
          <w:rFonts w:ascii="Times New Roman" w:eastAsia="TimesNewRomanPSMT" w:hAnsi="Times New Roman" w:cs="Times New Roman"/>
          <w:sz w:val="20"/>
          <w:szCs w:val="20"/>
        </w:rPr>
        <w:t xml:space="preserve"> kişisel ve sosyal risk modelleri araştırdı. </w:t>
      </w:r>
      <w:proofErr w:type="spellStart"/>
      <w:r w:rsidRPr="007F5C8E">
        <w:rPr>
          <w:rFonts w:ascii="Times New Roman" w:eastAsia="TimesNewRomanPSMT" w:hAnsi="Times New Roman" w:cs="Times New Roman"/>
          <w:sz w:val="20"/>
          <w:szCs w:val="20"/>
        </w:rPr>
        <w:t>Bonvicini</w:t>
      </w:r>
      <w:proofErr w:type="spellEnd"/>
      <w:r w:rsidRPr="007F5C8E">
        <w:rPr>
          <w:rFonts w:ascii="Times New Roman" w:eastAsia="TimesNewRomanPSMT" w:hAnsi="Times New Roman" w:cs="Times New Roman"/>
          <w:sz w:val="20"/>
          <w:szCs w:val="20"/>
        </w:rPr>
        <w:t xml:space="preserve"> </w:t>
      </w:r>
      <w:proofErr w:type="spellStart"/>
      <w:r w:rsidRPr="007F5C8E">
        <w:rPr>
          <w:rFonts w:ascii="Times New Roman" w:eastAsia="TimesNewRomanPSMT" w:hAnsi="Times New Roman" w:cs="Times New Roman"/>
          <w:sz w:val="20"/>
          <w:szCs w:val="20"/>
        </w:rPr>
        <w:t>vd</w:t>
      </w:r>
      <w:proofErr w:type="spellEnd"/>
      <w:r w:rsidRPr="007F5C8E">
        <w:rPr>
          <w:rFonts w:ascii="Times New Roman" w:eastAsia="TimesNewRomanPSMT" w:hAnsi="Times New Roman" w:cs="Times New Roman"/>
          <w:sz w:val="20"/>
          <w:szCs w:val="20"/>
        </w:rPr>
        <w:t>. (1998)</w:t>
      </w:r>
      <w:r w:rsidR="00CB6C82">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 xml:space="preserve">çalışmasında belirsizlik içeren risk faktörlerini değerlendirmek için bulanık matematik kullandı. </w:t>
      </w:r>
      <w:proofErr w:type="spellStart"/>
      <w:r w:rsidRPr="007F5C8E">
        <w:rPr>
          <w:rFonts w:ascii="Times New Roman" w:eastAsia="TimesNewRomanPSMT" w:hAnsi="Times New Roman" w:cs="Times New Roman"/>
          <w:sz w:val="20"/>
          <w:szCs w:val="20"/>
        </w:rPr>
        <w:t>Fabiano</w:t>
      </w:r>
      <w:proofErr w:type="spellEnd"/>
      <w:r w:rsidRPr="007F5C8E">
        <w:rPr>
          <w:rFonts w:ascii="Times New Roman" w:eastAsia="TimesNewRomanPSMT" w:hAnsi="Times New Roman" w:cs="Times New Roman"/>
          <w:sz w:val="20"/>
          <w:szCs w:val="20"/>
        </w:rPr>
        <w:t xml:space="preserve"> </w:t>
      </w:r>
      <w:proofErr w:type="spellStart"/>
      <w:r w:rsidRPr="007F5C8E">
        <w:rPr>
          <w:rFonts w:ascii="Times New Roman" w:eastAsia="TimesNewRomanPSMT" w:hAnsi="Times New Roman" w:cs="Times New Roman"/>
          <w:sz w:val="20"/>
          <w:szCs w:val="20"/>
        </w:rPr>
        <w:t>vd</w:t>
      </w:r>
      <w:proofErr w:type="spellEnd"/>
      <w:r w:rsidRPr="007F5C8E">
        <w:rPr>
          <w:rFonts w:ascii="Times New Roman" w:eastAsia="TimesNewRomanPSMT" w:hAnsi="Times New Roman" w:cs="Times New Roman"/>
          <w:sz w:val="20"/>
          <w:szCs w:val="20"/>
        </w:rPr>
        <w:t>. (2002) risk</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faktörlerini üçe ayırdı: yolun karakteristik özellikleri, hava şartları ve trafik durumu. Ayrıca kazalar için kaza risk değerlendirme</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 xml:space="preserve">ve karar verme sistemi önerdi. </w:t>
      </w:r>
      <w:proofErr w:type="spellStart"/>
      <w:r w:rsidRPr="007F5C8E">
        <w:rPr>
          <w:rFonts w:ascii="Times New Roman" w:eastAsia="TimesNewRomanPSMT" w:hAnsi="Times New Roman" w:cs="Times New Roman"/>
          <w:sz w:val="20"/>
          <w:szCs w:val="20"/>
        </w:rPr>
        <w:t>Liu</w:t>
      </w:r>
      <w:proofErr w:type="spellEnd"/>
      <w:r w:rsidRPr="007F5C8E">
        <w:rPr>
          <w:rFonts w:ascii="Times New Roman" w:eastAsia="TimesNewRomanPSMT" w:hAnsi="Times New Roman" w:cs="Times New Roman"/>
          <w:sz w:val="20"/>
          <w:szCs w:val="20"/>
        </w:rPr>
        <w:t xml:space="preserve"> </w:t>
      </w:r>
      <w:proofErr w:type="spellStart"/>
      <w:r w:rsidRPr="007F5C8E">
        <w:rPr>
          <w:rFonts w:ascii="Times New Roman" w:eastAsia="TimesNewRomanPSMT" w:hAnsi="Times New Roman" w:cs="Times New Roman"/>
          <w:sz w:val="20"/>
          <w:szCs w:val="20"/>
        </w:rPr>
        <w:t>vd</w:t>
      </w:r>
      <w:proofErr w:type="spellEnd"/>
      <w:r w:rsidRPr="007F5C8E">
        <w:rPr>
          <w:rFonts w:ascii="Times New Roman" w:eastAsia="TimesNewRomanPSMT" w:hAnsi="Times New Roman" w:cs="Times New Roman"/>
          <w:sz w:val="20"/>
          <w:szCs w:val="20"/>
        </w:rPr>
        <w:t xml:space="preserve">. (2006) çok seviyeli bulanık birleşik değerlendirme ile </w:t>
      </w:r>
      <w:proofErr w:type="spellStart"/>
      <w:r w:rsidRPr="007F5C8E">
        <w:rPr>
          <w:rFonts w:ascii="Times New Roman" w:eastAsia="TimesNewRomanPSMT" w:hAnsi="Times New Roman" w:cs="Times New Roman"/>
          <w:sz w:val="20"/>
          <w:szCs w:val="20"/>
        </w:rPr>
        <w:t>TEHMAT’ı</w:t>
      </w:r>
      <w:proofErr w:type="spellEnd"/>
      <w:r w:rsidRPr="007F5C8E">
        <w:rPr>
          <w:rFonts w:ascii="Times New Roman" w:eastAsia="TimesNewRomanPSMT" w:hAnsi="Times New Roman" w:cs="Times New Roman"/>
          <w:sz w:val="20"/>
          <w:szCs w:val="20"/>
        </w:rPr>
        <w:t xml:space="preserve"> optimize ederken</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 xml:space="preserve">etki faktörlerini yol/çevre, nüfus yoğunluğu ve trafik şartları olmak üzere üç gruba ayırdı. </w:t>
      </w:r>
      <w:proofErr w:type="spellStart"/>
      <w:r w:rsidRPr="007F5C8E">
        <w:rPr>
          <w:rFonts w:ascii="Times New Roman" w:eastAsia="TimesNewRomanPSMT" w:hAnsi="Times New Roman" w:cs="Times New Roman"/>
          <w:sz w:val="20"/>
          <w:szCs w:val="20"/>
        </w:rPr>
        <w:t>Chen</w:t>
      </w:r>
      <w:proofErr w:type="spellEnd"/>
      <w:r w:rsidRPr="007F5C8E">
        <w:rPr>
          <w:rFonts w:ascii="Times New Roman" w:eastAsia="TimesNewRomanPSMT" w:hAnsi="Times New Roman" w:cs="Times New Roman"/>
          <w:sz w:val="20"/>
          <w:szCs w:val="20"/>
        </w:rPr>
        <w:t xml:space="preserve"> </w:t>
      </w:r>
      <w:proofErr w:type="spellStart"/>
      <w:r w:rsidRPr="007F5C8E">
        <w:rPr>
          <w:rFonts w:ascii="Times New Roman" w:eastAsia="TimesNewRomanPSMT" w:hAnsi="Times New Roman" w:cs="Times New Roman"/>
          <w:sz w:val="20"/>
          <w:szCs w:val="20"/>
        </w:rPr>
        <w:t>vd</w:t>
      </w:r>
      <w:proofErr w:type="spellEnd"/>
      <w:r w:rsidRPr="007F5C8E">
        <w:rPr>
          <w:rFonts w:ascii="Times New Roman" w:eastAsia="TimesNewRomanPSMT" w:hAnsi="Times New Roman" w:cs="Times New Roman"/>
          <w:sz w:val="20"/>
          <w:szCs w:val="20"/>
        </w:rPr>
        <w:t>. (2007) TEHMAT risk</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faktörlerini analiz ettiği çalışmasında, kazaların azaltılması ve TEHMAT güvenliğinin korunması için bulanık model kurdu.</w:t>
      </w:r>
      <w:r w:rsidR="000A7B46">
        <w:rPr>
          <w:rFonts w:ascii="Times New Roman" w:eastAsia="TimesNewRomanPSMT" w:hAnsi="Times New Roman" w:cs="Times New Roman"/>
          <w:sz w:val="20"/>
          <w:szCs w:val="20"/>
        </w:rPr>
        <w:t xml:space="preserve"> </w:t>
      </w:r>
      <w:proofErr w:type="spellStart"/>
      <w:r w:rsidRPr="007F5C8E">
        <w:rPr>
          <w:rFonts w:ascii="Times New Roman" w:eastAsia="TimesNewRomanPSMT" w:hAnsi="Times New Roman" w:cs="Times New Roman"/>
          <w:sz w:val="20"/>
          <w:szCs w:val="20"/>
        </w:rPr>
        <w:t>Chen</w:t>
      </w:r>
      <w:proofErr w:type="spellEnd"/>
      <w:r w:rsidRPr="007F5C8E">
        <w:rPr>
          <w:rFonts w:ascii="Times New Roman" w:eastAsia="TimesNewRomanPSMT" w:hAnsi="Times New Roman" w:cs="Times New Roman"/>
          <w:sz w:val="20"/>
          <w:szCs w:val="20"/>
        </w:rPr>
        <w:t xml:space="preserve"> (2007) </w:t>
      </w:r>
      <w:proofErr w:type="spellStart"/>
      <w:r w:rsidRPr="007F5C8E">
        <w:rPr>
          <w:rFonts w:ascii="Times New Roman" w:eastAsia="TimesNewRomanPSMT" w:hAnsi="Times New Roman" w:cs="Times New Roman"/>
          <w:sz w:val="20"/>
          <w:szCs w:val="20"/>
        </w:rPr>
        <w:t>TEHMAT’ın</w:t>
      </w:r>
      <w:proofErr w:type="spellEnd"/>
      <w:r w:rsidRPr="007F5C8E">
        <w:rPr>
          <w:rFonts w:ascii="Times New Roman" w:eastAsia="TimesNewRomanPSMT" w:hAnsi="Times New Roman" w:cs="Times New Roman"/>
          <w:sz w:val="20"/>
          <w:szCs w:val="20"/>
        </w:rPr>
        <w:t xml:space="preserve"> yeni risk değerlendirme modelini kurabilmek için tahmin algoritmalarından yararlandı. </w:t>
      </w:r>
      <w:proofErr w:type="spellStart"/>
      <w:r w:rsidRPr="007F5C8E">
        <w:rPr>
          <w:rFonts w:ascii="Times New Roman" w:eastAsia="TimesNewRomanPSMT" w:hAnsi="Times New Roman" w:cs="Times New Roman"/>
          <w:sz w:val="20"/>
          <w:szCs w:val="20"/>
        </w:rPr>
        <w:t>Shang</w:t>
      </w:r>
      <w:proofErr w:type="spellEnd"/>
      <w:r w:rsidRPr="007F5C8E">
        <w:rPr>
          <w:rFonts w:ascii="Times New Roman" w:eastAsia="TimesNewRomanPSMT" w:hAnsi="Times New Roman" w:cs="Times New Roman"/>
          <w:sz w:val="20"/>
          <w:szCs w:val="20"/>
        </w:rPr>
        <w:t xml:space="preserve"> </w:t>
      </w:r>
      <w:proofErr w:type="spellStart"/>
      <w:r w:rsidRPr="007F5C8E">
        <w:rPr>
          <w:rFonts w:ascii="Times New Roman" w:eastAsia="TimesNewRomanPSMT" w:hAnsi="Times New Roman" w:cs="Times New Roman"/>
          <w:sz w:val="20"/>
          <w:szCs w:val="20"/>
        </w:rPr>
        <w:t>vd</w:t>
      </w:r>
      <w:proofErr w:type="spellEnd"/>
      <w:r w:rsidRPr="007F5C8E">
        <w:rPr>
          <w:rFonts w:ascii="Times New Roman" w:eastAsia="TimesNewRomanPSMT" w:hAnsi="Times New Roman" w:cs="Times New Roman"/>
          <w:sz w:val="20"/>
          <w:szCs w:val="20"/>
        </w:rPr>
        <w:t>.</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(2008) TEHMAT risk değerlendirmesi için faktörleri insan, malzeme ve çevre olarak gruplayarak üç boyutlu bir model ortaya</w:t>
      </w:r>
      <w:r w:rsidR="00CB6C82">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koydu. Ayrıca bulanık AHP tekniğini kullandı.</w:t>
      </w:r>
      <w:r w:rsidR="000A7B46">
        <w:rPr>
          <w:rFonts w:ascii="Times New Roman" w:eastAsia="TimesNewRomanPSMT" w:hAnsi="Times New Roman" w:cs="Times New Roman"/>
          <w:sz w:val="20"/>
          <w:szCs w:val="20"/>
        </w:rPr>
        <w:t xml:space="preserve"> </w:t>
      </w:r>
      <w:proofErr w:type="spellStart"/>
      <w:r w:rsidRPr="007F5C8E">
        <w:rPr>
          <w:rFonts w:ascii="Times New Roman" w:eastAsia="TimesNewRomanPSMT" w:hAnsi="Times New Roman" w:cs="Times New Roman"/>
          <w:sz w:val="20"/>
          <w:szCs w:val="20"/>
        </w:rPr>
        <w:t>Chen</w:t>
      </w:r>
      <w:proofErr w:type="spellEnd"/>
      <w:r w:rsidRPr="007F5C8E">
        <w:rPr>
          <w:rFonts w:ascii="Times New Roman" w:eastAsia="TimesNewRomanPSMT" w:hAnsi="Times New Roman" w:cs="Times New Roman"/>
          <w:sz w:val="20"/>
          <w:szCs w:val="20"/>
        </w:rPr>
        <w:t xml:space="preserve"> </w:t>
      </w:r>
      <w:proofErr w:type="spellStart"/>
      <w:r w:rsidRPr="007F5C8E">
        <w:rPr>
          <w:rFonts w:ascii="Times New Roman" w:eastAsia="TimesNewRomanPSMT" w:hAnsi="Times New Roman" w:cs="Times New Roman"/>
          <w:sz w:val="20"/>
          <w:szCs w:val="20"/>
        </w:rPr>
        <w:t>vd</w:t>
      </w:r>
      <w:proofErr w:type="spellEnd"/>
      <w:r w:rsidRPr="007F5C8E">
        <w:rPr>
          <w:rFonts w:ascii="Times New Roman" w:eastAsia="TimesNewRomanPSMT" w:hAnsi="Times New Roman" w:cs="Times New Roman"/>
          <w:sz w:val="20"/>
          <w:szCs w:val="20"/>
        </w:rPr>
        <w:t>. (2007) TEHMAT risk faktörlerini beş ana gruba ayırdı. Bunlar; tehlikeli maddeler, araçlar, personel, yol ve</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 xml:space="preserve">çevre, güvenlik izleme ve acil kurtarmadır. </w:t>
      </w:r>
      <w:proofErr w:type="spellStart"/>
      <w:r w:rsidRPr="007F5C8E">
        <w:rPr>
          <w:rFonts w:ascii="Times New Roman" w:eastAsia="TimesNewRomanPSMT" w:hAnsi="Times New Roman" w:cs="Times New Roman"/>
          <w:sz w:val="20"/>
          <w:szCs w:val="20"/>
        </w:rPr>
        <w:t>Liu</w:t>
      </w:r>
      <w:proofErr w:type="spellEnd"/>
      <w:r w:rsidRPr="007F5C8E">
        <w:rPr>
          <w:rFonts w:ascii="Times New Roman" w:eastAsia="TimesNewRomanPSMT" w:hAnsi="Times New Roman" w:cs="Times New Roman"/>
          <w:sz w:val="20"/>
          <w:szCs w:val="20"/>
        </w:rPr>
        <w:t xml:space="preserve"> </w:t>
      </w:r>
      <w:proofErr w:type="spellStart"/>
      <w:r w:rsidRPr="007F5C8E">
        <w:rPr>
          <w:rFonts w:ascii="Times New Roman" w:eastAsia="TimesNewRomanPSMT" w:hAnsi="Times New Roman" w:cs="Times New Roman"/>
          <w:sz w:val="20"/>
          <w:szCs w:val="20"/>
        </w:rPr>
        <w:t>vd</w:t>
      </w:r>
      <w:proofErr w:type="spellEnd"/>
      <w:r w:rsidRPr="007F5C8E">
        <w:rPr>
          <w:rFonts w:ascii="Times New Roman" w:eastAsia="TimesNewRomanPSMT" w:hAnsi="Times New Roman" w:cs="Times New Roman"/>
          <w:sz w:val="20"/>
          <w:szCs w:val="20"/>
        </w:rPr>
        <w:t>. (2005) ise bu faktörleri dört grupta topladı. Bunlar; yönetimsel nedenler,</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 xml:space="preserve">araçlardan kaynaklanan nedenler, paketleme ve </w:t>
      </w:r>
      <w:proofErr w:type="gramStart"/>
      <w:r w:rsidRPr="007F5C8E">
        <w:rPr>
          <w:rFonts w:ascii="Times New Roman" w:eastAsia="TimesNewRomanPSMT" w:hAnsi="Times New Roman" w:cs="Times New Roman"/>
          <w:sz w:val="20"/>
          <w:szCs w:val="20"/>
        </w:rPr>
        <w:t>ekipman</w:t>
      </w:r>
      <w:proofErr w:type="gramEnd"/>
      <w:r w:rsidRPr="007F5C8E">
        <w:rPr>
          <w:rFonts w:ascii="Times New Roman" w:eastAsia="TimesNewRomanPSMT" w:hAnsi="Times New Roman" w:cs="Times New Roman"/>
          <w:sz w:val="20"/>
          <w:szCs w:val="20"/>
        </w:rPr>
        <w:t>, trafik şartları ve çevre, insanların illegal veya yanlış hareketleridir.</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 xml:space="preserve">Ren ve </w:t>
      </w:r>
      <w:proofErr w:type="spellStart"/>
      <w:r w:rsidRPr="007F5C8E">
        <w:rPr>
          <w:rFonts w:ascii="Times New Roman" w:eastAsia="TimesNewRomanPSMT" w:hAnsi="Times New Roman" w:cs="Times New Roman"/>
          <w:sz w:val="20"/>
          <w:szCs w:val="20"/>
        </w:rPr>
        <w:t>Wu</w:t>
      </w:r>
      <w:proofErr w:type="spellEnd"/>
      <w:r w:rsidRPr="007F5C8E">
        <w:rPr>
          <w:rFonts w:ascii="Times New Roman" w:eastAsia="TimesNewRomanPSMT" w:hAnsi="Times New Roman" w:cs="Times New Roman"/>
          <w:sz w:val="20"/>
          <w:szCs w:val="20"/>
        </w:rPr>
        <w:t xml:space="preserve"> (2007) bu faktörleri taşıma hatları, araç durumu, personel kalitesi ve güvenlik yönetimi olarak kategorize etti.</w:t>
      </w:r>
    </w:p>
    <w:p w:rsidR="00CB6C82" w:rsidRDefault="00CB6C82" w:rsidP="007F5C8E">
      <w:pPr>
        <w:autoSpaceDE w:val="0"/>
        <w:autoSpaceDN w:val="0"/>
        <w:adjustRightInd w:val="0"/>
        <w:spacing w:after="0" w:line="240" w:lineRule="auto"/>
        <w:rPr>
          <w:rFonts w:ascii="Times New Roman" w:eastAsia="TimesNewRomanPSMT" w:hAnsi="Times New Roman" w:cs="Times New Roman"/>
          <w:sz w:val="20"/>
          <w:szCs w:val="20"/>
        </w:rPr>
      </w:pPr>
    </w:p>
    <w:p w:rsidR="007F5C8E" w:rsidRPr="007F5C8E"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t xml:space="preserve">Çalışmanın amacı, TEHMAT için risk değerlendirme </w:t>
      </w:r>
      <w:proofErr w:type="gramStart"/>
      <w:r w:rsidRPr="007F5C8E">
        <w:rPr>
          <w:rFonts w:ascii="Times New Roman" w:eastAsia="TimesNewRomanPSMT" w:hAnsi="Times New Roman" w:cs="Times New Roman"/>
          <w:sz w:val="20"/>
          <w:szCs w:val="20"/>
        </w:rPr>
        <w:t>imkanı</w:t>
      </w:r>
      <w:proofErr w:type="gramEnd"/>
      <w:r w:rsidRPr="007F5C8E">
        <w:rPr>
          <w:rFonts w:ascii="Times New Roman" w:eastAsia="TimesNewRomanPSMT" w:hAnsi="Times New Roman" w:cs="Times New Roman"/>
          <w:sz w:val="20"/>
          <w:szCs w:val="20"/>
        </w:rPr>
        <w:t xml:space="preserve"> sağlayan bir indeks geliştirmektir. Bu amaçla, öncelikle ilk</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aşamada, TEHMAT yapan şirketlerde bulunan uzmanların görüşleri alınarak risk değerlendirmesinde dikkat edilmesi gereken</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faktörler belirlenmiştir. Belirlenen bu faktörler kategorize edilerek hiyerarşik yapının kurulması ikinci aşamada yapılmıştır.</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Üçüncü aşamada ise tekrar uzmanların görüşleri alınarak faktörlerin önem derecelerini ve ağırlıklarını bulmak maksadıyla</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Analitik Hiyerarşi Proses (AHP) tekniğinden yararlanılmıştır. Böylece bir risk değerlendirme indeksi oluşturulmuştur. Elde</w:t>
      </w:r>
    </w:p>
    <w:p w:rsidR="007F5C8E" w:rsidRDefault="007F5C8E" w:rsidP="007F5C8E">
      <w:pPr>
        <w:autoSpaceDE w:val="0"/>
        <w:autoSpaceDN w:val="0"/>
        <w:adjustRightInd w:val="0"/>
        <w:spacing w:after="0" w:line="240" w:lineRule="auto"/>
        <w:rPr>
          <w:rFonts w:ascii="Times New Roman" w:eastAsia="TimesNewRomanPSMT" w:hAnsi="Times New Roman" w:cs="Times New Roman"/>
          <w:sz w:val="20"/>
          <w:szCs w:val="20"/>
        </w:rPr>
      </w:pPr>
      <w:r w:rsidRPr="007F5C8E">
        <w:rPr>
          <w:rFonts w:ascii="Times New Roman" w:eastAsia="TimesNewRomanPSMT" w:hAnsi="Times New Roman" w:cs="Times New Roman"/>
          <w:sz w:val="20"/>
          <w:szCs w:val="20"/>
        </w:rPr>
        <w:t>edilen indeks kullanılarak TEHMAT öncesi bir risk değerlendirmesi yapılarak risk düzeyi tespit edilebilecek ve olası kazaların</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 xml:space="preserve">azaltılması </w:t>
      </w:r>
      <w:proofErr w:type="gramStart"/>
      <w:r w:rsidRPr="007F5C8E">
        <w:rPr>
          <w:rFonts w:ascii="Times New Roman" w:eastAsia="TimesNewRomanPSMT" w:hAnsi="Times New Roman" w:cs="Times New Roman"/>
          <w:sz w:val="20"/>
          <w:szCs w:val="20"/>
        </w:rPr>
        <w:t>sağlanabilecektir.Çalışmanın</w:t>
      </w:r>
      <w:proofErr w:type="gramEnd"/>
      <w:r w:rsidRPr="007F5C8E">
        <w:rPr>
          <w:rFonts w:ascii="Times New Roman" w:eastAsia="TimesNewRomanPSMT" w:hAnsi="Times New Roman" w:cs="Times New Roman"/>
          <w:sz w:val="20"/>
          <w:szCs w:val="20"/>
        </w:rPr>
        <w:t xml:space="preserve"> ikinci bölümünde, AHP tekniğinden bahsedilmektedir. Üçüncü bölümse, risk değerlendirme indeksinin</w:t>
      </w:r>
      <w:r w:rsidR="000A7B46">
        <w:rPr>
          <w:rFonts w:ascii="Times New Roman" w:eastAsia="TimesNewRomanPSMT" w:hAnsi="Times New Roman" w:cs="Times New Roman"/>
          <w:sz w:val="20"/>
          <w:szCs w:val="20"/>
        </w:rPr>
        <w:t xml:space="preserve"> </w:t>
      </w:r>
      <w:r w:rsidRPr="007F5C8E">
        <w:rPr>
          <w:rFonts w:ascii="Times New Roman" w:eastAsia="TimesNewRomanPSMT" w:hAnsi="Times New Roman" w:cs="Times New Roman"/>
          <w:sz w:val="20"/>
          <w:szCs w:val="20"/>
        </w:rPr>
        <w:t>oluşturulması için yöntem ve uygulama yer almaktadır. Son bölümde ise sonuç ve gelecek çalışmalara yer verilmektedir.</w:t>
      </w:r>
    </w:p>
    <w:p w:rsidR="000A7B46" w:rsidRPr="000A7B46" w:rsidRDefault="000A7B46" w:rsidP="007F5C8E">
      <w:pPr>
        <w:autoSpaceDE w:val="0"/>
        <w:autoSpaceDN w:val="0"/>
        <w:adjustRightInd w:val="0"/>
        <w:spacing w:after="0" w:line="240" w:lineRule="auto"/>
        <w:rPr>
          <w:rFonts w:ascii="Times New Roman" w:eastAsia="TimesNewRomanPSMT" w:hAnsi="Times New Roman" w:cs="Times New Roman"/>
          <w:sz w:val="20"/>
          <w:szCs w:val="20"/>
        </w:rPr>
      </w:pPr>
    </w:p>
    <w:p w:rsidR="000A7B46" w:rsidRPr="000A7B46" w:rsidRDefault="000A7B46" w:rsidP="000A7B46">
      <w:pPr>
        <w:autoSpaceDE w:val="0"/>
        <w:autoSpaceDN w:val="0"/>
        <w:adjustRightInd w:val="0"/>
        <w:spacing w:after="0" w:line="240" w:lineRule="auto"/>
        <w:rPr>
          <w:rFonts w:ascii="Times New Roman" w:hAnsi="Times New Roman" w:cs="Times New Roman"/>
          <w:b/>
          <w:bCs/>
          <w:sz w:val="24"/>
          <w:szCs w:val="24"/>
        </w:rPr>
      </w:pPr>
      <w:r w:rsidRPr="000A7B46">
        <w:rPr>
          <w:rFonts w:ascii="Times New Roman" w:hAnsi="Times New Roman" w:cs="Times New Roman"/>
          <w:b/>
          <w:bCs/>
          <w:sz w:val="24"/>
          <w:szCs w:val="24"/>
        </w:rPr>
        <w:t>AHP</w:t>
      </w:r>
    </w:p>
    <w:p w:rsidR="000A7B46" w:rsidRDefault="000A7B46" w:rsidP="000A7B46">
      <w:pPr>
        <w:autoSpaceDE w:val="0"/>
        <w:autoSpaceDN w:val="0"/>
        <w:adjustRightInd w:val="0"/>
        <w:spacing w:after="0" w:line="240" w:lineRule="auto"/>
        <w:rPr>
          <w:rFonts w:ascii="Times New Roman" w:eastAsia="TimesNewRomanPSMT" w:hAnsi="Times New Roman" w:cs="Times New Roman"/>
          <w:sz w:val="20"/>
          <w:szCs w:val="20"/>
        </w:rPr>
      </w:pPr>
      <w:r w:rsidRPr="000A7B46">
        <w:rPr>
          <w:rFonts w:ascii="Times New Roman" w:eastAsia="TimesNewRomanPSMT" w:hAnsi="Times New Roman" w:cs="Times New Roman"/>
          <w:sz w:val="20"/>
          <w:szCs w:val="20"/>
        </w:rPr>
        <w:t xml:space="preserve">Thomas </w:t>
      </w:r>
      <w:proofErr w:type="spellStart"/>
      <w:r w:rsidRPr="000A7B46">
        <w:rPr>
          <w:rFonts w:ascii="Times New Roman" w:eastAsia="TimesNewRomanPSMT" w:hAnsi="Times New Roman" w:cs="Times New Roman"/>
          <w:sz w:val="20"/>
          <w:szCs w:val="20"/>
        </w:rPr>
        <w:t>Saa</w:t>
      </w:r>
      <w:r w:rsidR="00CB6C82">
        <w:rPr>
          <w:rFonts w:ascii="Times New Roman" w:eastAsia="TimesNewRomanPSMT" w:hAnsi="Times New Roman" w:cs="Times New Roman"/>
          <w:sz w:val="20"/>
          <w:szCs w:val="20"/>
        </w:rPr>
        <w:t>ty</w:t>
      </w:r>
      <w:proofErr w:type="spellEnd"/>
      <w:r w:rsidR="00CB6C82">
        <w:rPr>
          <w:rFonts w:ascii="Times New Roman" w:eastAsia="TimesNewRomanPSMT" w:hAnsi="Times New Roman" w:cs="Times New Roman"/>
          <w:sz w:val="20"/>
          <w:szCs w:val="20"/>
        </w:rPr>
        <w:t xml:space="preserve"> tarafından geliştirilen </w:t>
      </w:r>
      <w:proofErr w:type="gramStart"/>
      <w:r w:rsidR="00CB6C82">
        <w:rPr>
          <w:rFonts w:ascii="Times New Roman" w:eastAsia="TimesNewRomanPSMT" w:hAnsi="Times New Roman" w:cs="Times New Roman"/>
          <w:sz w:val="20"/>
          <w:szCs w:val="20"/>
        </w:rPr>
        <w:t xml:space="preserve">AHP </w:t>
      </w:r>
      <w:r w:rsidRPr="000A7B46">
        <w:rPr>
          <w:rFonts w:ascii="Times New Roman" w:eastAsia="TimesNewRomanPSMT" w:hAnsi="Times New Roman" w:cs="Times New Roman"/>
          <w:sz w:val="20"/>
          <w:szCs w:val="20"/>
        </w:rPr>
        <w:t>, çok</w:t>
      </w:r>
      <w:proofErr w:type="gramEnd"/>
      <w:r w:rsidRPr="000A7B46">
        <w:rPr>
          <w:rFonts w:ascii="Times New Roman" w:eastAsia="TimesNewRomanPSMT" w:hAnsi="Times New Roman" w:cs="Times New Roman"/>
          <w:sz w:val="20"/>
          <w:szCs w:val="20"/>
        </w:rPr>
        <w:t xml:space="preserve"> kriterli karar verme problemlerinde kriter</w:t>
      </w:r>
      <w:r>
        <w:rPr>
          <w:rFonts w:ascii="Times New Roman" w:eastAsia="TimesNewRomanPSMT" w:hAnsi="Times New Roman" w:cs="Times New Roman"/>
          <w:sz w:val="20"/>
          <w:szCs w:val="20"/>
        </w:rPr>
        <w:t xml:space="preserve"> </w:t>
      </w:r>
      <w:r w:rsidRPr="000A7B46">
        <w:rPr>
          <w:rFonts w:ascii="Times New Roman" w:eastAsia="TimesNewRomanPSMT" w:hAnsi="Times New Roman" w:cs="Times New Roman"/>
          <w:sz w:val="20"/>
          <w:szCs w:val="20"/>
        </w:rPr>
        <w:t>veya alternatif kümelerinin göreli önemlerini derecelendirmek ve sıralamak için kullanılmaktadır. Bu teknik, somut nicel</w:t>
      </w:r>
      <w:r>
        <w:rPr>
          <w:rFonts w:ascii="Times New Roman" w:eastAsia="TimesNewRomanPSMT" w:hAnsi="Times New Roman" w:cs="Times New Roman"/>
          <w:sz w:val="20"/>
          <w:szCs w:val="20"/>
        </w:rPr>
        <w:t xml:space="preserve"> </w:t>
      </w:r>
      <w:r w:rsidRPr="000A7B46">
        <w:rPr>
          <w:rFonts w:ascii="Times New Roman" w:eastAsia="TimesNewRomanPSMT" w:hAnsi="Times New Roman" w:cs="Times New Roman"/>
          <w:sz w:val="20"/>
          <w:szCs w:val="20"/>
        </w:rPr>
        <w:t xml:space="preserve">kriterlerin yanında soyut nitel kriterleri de değerlendirmelere </w:t>
      </w:r>
      <w:proofErr w:type="gramStart"/>
      <w:r w:rsidRPr="000A7B46">
        <w:rPr>
          <w:rFonts w:ascii="Times New Roman" w:eastAsia="TimesNewRomanPSMT" w:hAnsi="Times New Roman" w:cs="Times New Roman"/>
          <w:sz w:val="20"/>
          <w:szCs w:val="20"/>
        </w:rPr>
        <w:t>dahil</w:t>
      </w:r>
      <w:proofErr w:type="gramEnd"/>
      <w:r w:rsidRPr="000A7B46">
        <w:rPr>
          <w:rFonts w:ascii="Times New Roman" w:eastAsia="TimesNewRomanPSMT" w:hAnsi="Times New Roman" w:cs="Times New Roman"/>
          <w:sz w:val="20"/>
          <w:szCs w:val="20"/>
        </w:rPr>
        <w:t xml:space="preserve"> etme imkanı sağlamaktadır (</w:t>
      </w:r>
      <w:proofErr w:type="spellStart"/>
      <w:r w:rsidRPr="000A7B46">
        <w:rPr>
          <w:rFonts w:ascii="Times New Roman" w:eastAsia="TimesNewRomanPSMT" w:hAnsi="Times New Roman" w:cs="Times New Roman"/>
          <w:sz w:val="20"/>
          <w:szCs w:val="20"/>
        </w:rPr>
        <w:t>Badri</w:t>
      </w:r>
      <w:proofErr w:type="spellEnd"/>
      <w:r w:rsidRPr="000A7B46">
        <w:rPr>
          <w:rFonts w:ascii="Times New Roman" w:eastAsia="TimesNewRomanPSMT" w:hAnsi="Times New Roman" w:cs="Times New Roman"/>
          <w:sz w:val="20"/>
          <w:szCs w:val="20"/>
        </w:rPr>
        <w:t>, 2001). AHP yöntemi,</w:t>
      </w:r>
      <w:r>
        <w:rPr>
          <w:rFonts w:ascii="Times New Roman" w:eastAsia="TimesNewRomanPSMT" w:hAnsi="Times New Roman" w:cs="Times New Roman"/>
          <w:sz w:val="20"/>
          <w:szCs w:val="20"/>
        </w:rPr>
        <w:t xml:space="preserve"> </w:t>
      </w:r>
      <w:r w:rsidRPr="000A7B46">
        <w:rPr>
          <w:rFonts w:ascii="Times New Roman" w:eastAsia="TimesNewRomanPSMT" w:hAnsi="Times New Roman" w:cs="Times New Roman"/>
          <w:sz w:val="20"/>
          <w:szCs w:val="20"/>
        </w:rPr>
        <w:t xml:space="preserve">modelin yapılandırılması, alternatif ve </w:t>
      </w:r>
      <w:proofErr w:type="gramStart"/>
      <w:r w:rsidRPr="000A7B46">
        <w:rPr>
          <w:rFonts w:ascii="Times New Roman" w:eastAsia="TimesNewRomanPSMT" w:hAnsi="Times New Roman" w:cs="Times New Roman"/>
          <w:sz w:val="20"/>
          <w:szCs w:val="20"/>
        </w:rPr>
        <w:t>kriterlerin</w:t>
      </w:r>
      <w:proofErr w:type="gramEnd"/>
      <w:r w:rsidRPr="000A7B46">
        <w:rPr>
          <w:rFonts w:ascii="Times New Roman" w:eastAsia="TimesNewRomanPSMT" w:hAnsi="Times New Roman" w:cs="Times New Roman"/>
          <w:sz w:val="20"/>
          <w:szCs w:val="20"/>
        </w:rPr>
        <w:t xml:space="preserve"> karşılaştırmalı değerlendirmesi ve tercihlerin sentezi olmak üzere üç önemli</w:t>
      </w:r>
      <w:r>
        <w:rPr>
          <w:rFonts w:ascii="Times New Roman" w:eastAsia="TimesNewRomanPSMT" w:hAnsi="Times New Roman" w:cs="Times New Roman"/>
          <w:sz w:val="20"/>
          <w:szCs w:val="20"/>
        </w:rPr>
        <w:t xml:space="preserve"> </w:t>
      </w:r>
      <w:r w:rsidRPr="000A7B46">
        <w:rPr>
          <w:rFonts w:ascii="Times New Roman" w:eastAsia="TimesNewRomanPSMT" w:hAnsi="Times New Roman" w:cs="Times New Roman"/>
          <w:sz w:val="20"/>
          <w:szCs w:val="20"/>
        </w:rPr>
        <w:t>ilkeden oluşmaktadır.</w:t>
      </w:r>
    </w:p>
    <w:p w:rsidR="000A7B46" w:rsidRPr="000A7B46" w:rsidRDefault="000A7B46" w:rsidP="000A7B46">
      <w:pPr>
        <w:autoSpaceDE w:val="0"/>
        <w:autoSpaceDN w:val="0"/>
        <w:adjustRightInd w:val="0"/>
        <w:spacing w:after="0" w:line="240" w:lineRule="auto"/>
        <w:rPr>
          <w:rFonts w:ascii="Times New Roman" w:eastAsia="TimesNewRomanPSMT" w:hAnsi="Times New Roman" w:cs="Times New Roman"/>
          <w:sz w:val="20"/>
          <w:szCs w:val="20"/>
        </w:rPr>
      </w:pPr>
      <w:r w:rsidRPr="000A7B46">
        <w:rPr>
          <w:rFonts w:ascii="Times New Roman" w:eastAsia="TimesNewRomanPSMT" w:hAnsi="Times New Roman" w:cs="Times New Roman"/>
          <w:sz w:val="20"/>
          <w:szCs w:val="20"/>
        </w:rPr>
        <w:t>İlk adımda karmaşık karar problemi bir hiyerarşi olarak yapılandırılır. AHP başlangıçta birbiriyle ilişkili karar</w:t>
      </w:r>
    </w:p>
    <w:p w:rsidR="00305291" w:rsidRDefault="000A7B46" w:rsidP="000A7B46">
      <w:pPr>
        <w:autoSpaceDE w:val="0"/>
        <w:autoSpaceDN w:val="0"/>
        <w:adjustRightInd w:val="0"/>
        <w:spacing w:after="0" w:line="240" w:lineRule="auto"/>
        <w:rPr>
          <w:rFonts w:ascii="Times New Roman" w:eastAsia="TimesNewRomanPSMT" w:hAnsi="Times New Roman" w:cs="Times New Roman"/>
          <w:sz w:val="20"/>
          <w:szCs w:val="20"/>
        </w:rPr>
      </w:pPr>
      <w:proofErr w:type="gramStart"/>
      <w:r w:rsidRPr="000A7B46">
        <w:rPr>
          <w:rFonts w:ascii="Times New Roman" w:eastAsia="TimesNewRomanPSMT" w:hAnsi="Times New Roman" w:cs="Times New Roman"/>
          <w:sz w:val="20"/>
          <w:szCs w:val="20"/>
        </w:rPr>
        <w:t>elemanlarının</w:t>
      </w:r>
      <w:proofErr w:type="gramEnd"/>
      <w:r w:rsidRPr="000A7B46">
        <w:rPr>
          <w:rFonts w:ascii="Times New Roman" w:eastAsia="TimesNewRomanPSMT" w:hAnsi="Times New Roman" w:cs="Times New Roman"/>
          <w:sz w:val="20"/>
          <w:szCs w:val="20"/>
        </w:rPr>
        <w:t xml:space="preserve"> hiyerarşisi içinde karmaşık bir çok kriterli karar verme problemine ayrılır. </w:t>
      </w:r>
    </w:p>
    <w:p w:rsidR="00305291" w:rsidRDefault="00305291" w:rsidP="000A7B46">
      <w:pPr>
        <w:autoSpaceDE w:val="0"/>
        <w:autoSpaceDN w:val="0"/>
        <w:adjustRightInd w:val="0"/>
        <w:spacing w:after="0" w:line="240" w:lineRule="auto"/>
        <w:rPr>
          <w:rFonts w:ascii="Times New Roman" w:eastAsia="TimesNewRomanPSMT" w:hAnsi="Times New Roman" w:cs="Times New Roman"/>
          <w:sz w:val="20"/>
          <w:szCs w:val="20"/>
        </w:rPr>
      </w:pPr>
    </w:p>
    <w:p w:rsidR="000A7B46" w:rsidRPr="000A7B46" w:rsidRDefault="000A7B46" w:rsidP="000A7B46">
      <w:pPr>
        <w:autoSpaceDE w:val="0"/>
        <w:autoSpaceDN w:val="0"/>
        <w:adjustRightInd w:val="0"/>
        <w:spacing w:after="0" w:line="240" w:lineRule="auto"/>
        <w:rPr>
          <w:rFonts w:ascii="Times New Roman" w:eastAsia="TimesNewRomanPSMT" w:hAnsi="Times New Roman" w:cs="Times New Roman"/>
          <w:sz w:val="20"/>
          <w:szCs w:val="20"/>
        </w:rPr>
      </w:pPr>
      <w:r w:rsidRPr="000A7B46">
        <w:rPr>
          <w:rFonts w:ascii="Times New Roman" w:eastAsia="TimesNewRomanPSMT" w:hAnsi="Times New Roman" w:cs="Times New Roman"/>
          <w:sz w:val="20"/>
          <w:szCs w:val="20"/>
        </w:rPr>
        <w:t>İkinci adımda alternatifler ve</w:t>
      </w:r>
      <w:r w:rsidR="00305291">
        <w:rPr>
          <w:rFonts w:ascii="Times New Roman" w:eastAsia="TimesNewRomanPSMT" w:hAnsi="Times New Roman" w:cs="Times New Roman"/>
          <w:sz w:val="20"/>
          <w:szCs w:val="20"/>
        </w:rPr>
        <w:t xml:space="preserve"> </w:t>
      </w:r>
      <w:proofErr w:type="gramStart"/>
      <w:r w:rsidRPr="000A7B46">
        <w:rPr>
          <w:rFonts w:ascii="Times New Roman" w:eastAsia="TimesNewRomanPSMT" w:hAnsi="Times New Roman" w:cs="Times New Roman"/>
          <w:sz w:val="20"/>
          <w:szCs w:val="20"/>
        </w:rPr>
        <w:t>kriterlerin</w:t>
      </w:r>
      <w:proofErr w:type="gramEnd"/>
      <w:r w:rsidRPr="000A7B46">
        <w:rPr>
          <w:rFonts w:ascii="Times New Roman" w:eastAsia="TimesNewRomanPSMT" w:hAnsi="Times New Roman" w:cs="Times New Roman"/>
          <w:sz w:val="20"/>
          <w:szCs w:val="20"/>
        </w:rPr>
        <w:t xml:space="preserve"> karşılaştırılması yapılır (Forman ve </w:t>
      </w:r>
      <w:proofErr w:type="spellStart"/>
      <w:r w:rsidRPr="000A7B46">
        <w:rPr>
          <w:rFonts w:ascii="Times New Roman" w:eastAsia="TimesNewRomanPSMT" w:hAnsi="Times New Roman" w:cs="Times New Roman"/>
          <w:sz w:val="20"/>
          <w:szCs w:val="20"/>
        </w:rPr>
        <w:t>Peniwati</w:t>
      </w:r>
      <w:proofErr w:type="spellEnd"/>
      <w:r w:rsidRPr="000A7B46">
        <w:rPr>
          <w:rFonts w:ascii="Times New Roman" w:eastAsia="TimesNewRomanPSMT" w:hAnsi="Times New Roman" w:cs="Times New Roman"/>
          <w:sz w:val="20"/>
          <w:szCs w:val="20"/>
        </w:rPr>
        <w:t>, 1998). Problem ayrıştırıldıktan (</w:t>
      </w:r>
      <w:proofErr w:type="spellStart"/>
      <w:r w:rsidRPr="000A7B46">
        <w:rPr>
          <w:rFonts w:ascii="Times New Roman" w:eastAsia="TimesNewRomanPSMT" w:hAnsi="Times New Roman" w:cs="Times New Roman"/>
          <w:sz w:val="20"/>
          <w:szCs w:val="20"/>
        </w:rPr>
        <w:t>decompose</w:t>
      </w:r>
      <w:proofErr w:type="spellEnd"/>
      <w:r w:rsidRPr="000A7B46">
        <w:rPr>
          <w:rFonts w:ascii="Times New Roman" w:eastAsia="TimesNewRomanPSMT" w:hAnsi="Times New Roman" w:cs="Times New Roman"/>
          <w:sz w:val="20"/>
          <w:szCs w:val="20"/>
        </w:rPr>
        <w:t>) ve hiyerarşi kurulduktan</w:t>
      </w:r>
      <w:r w:rsidR="00305291">
        <w:rPr>
          <w:rFonts w:ascii="Times New Roman" w:eastAsia="TimesNewRomanPSMT" w:hAnsi="Times New Roman" w:cs="Times New Roman"/>
          <w:sz w:val="20"/>
          <w:szCs w:val="20"/>
        </w:rPr>
        <w:t xml:space="preserve"> </w:t>
      </w:r>
      <w:r w:rsidRPr="000A7B46">
        <w:rPr>
          <w:rFonts w:ascii="Times New Roman" w:eastAsia="TimesNewRomanPSMT" w:hAnsi="Times New Roman" w:cs="Times New Roman"/>
          <w:sz w:val="20"/>
          <w:szCs w:val="20"/>
        </w:rPr>
        <w:t xml:space="preserve">sonra, her bir seviyedeki </w:t>
      </w:r>
      <w:proofErr w:type="gramStart"/>
      <w:r w:rsidRPr="000A7B46">
        <w:rPr>
          <w:rFonts w:ascii="Times New Roman" w:eastAsia="TimesNewRomanPSMT" w:hAnsi="Times New Roman" w:cs="Times New Roman"/>
          <w:sz w:val="20"/>
          <w:szCs w:val="20"/>
        </w:rPr>
        <w:t>kriterlerin</w:t>
      </w:r>
      <w:proofErr w:type="gramEnd"/>
      <w:r w:rsidRPr="000A7B46">
        <w:rPr>
          <w:rFonts w:ascii="Times New Roman" w:eastAsia="TimesNewRomanPSMT" w:hAnsi="Times New Roman" w:cs="Times New Roman"/>
          <w:sz w:val="20"/>
          <w:szCs w:val="20"/>
        </w:rPr>
        <w:t xml:space="preserve"> önemlerini belirlemek için </w:t>
      </w:r>
      <w:proofErr w:type="spellStart"/>
      <w:r w:rsidRPr="000A7B46">
        <w:rPr>
          <w:rFonts w:ascii="Times New Roman" w:eastAsia="TimesNewRomanPSMT" w:hAnsi="Times New Roman" w:cs="Times New Roman"/>
          <w:sz w:val="20"/>
          <w:szCs w:val="20"/>
        </w:rPr>
        <w:t>önceliklendirme</w:t>
      </w:r>
      <w:proofErr w:type="spellEnd"/>
      <w:r w:rsidRPr="000A7B46">
        <w:rPr>
          <w:rFonts w:ascii="Times New Roman" w:eastAsia="TimesNewRomanPSMT" w:hAnsi="Times New Roman" w:cs="Times New Roman"/>
          <w:sz w:val="20"/>
          <w:szCs w:val="20"/>
        </w:rPr>
        <w:t xml:space="preserve"> prosedürü başlar. İkili değerlendirme ikinci</w:t>
      </w:r>
      <w:r w:rsidR="00305291">
        <w:rPr>
          <w:rFonts w:ascii="Times New Roman" w:eastAsia="TimesNewRomanPSMT" w:hAnsi="Times New Roman" w:cs="Times New Roman"/>
          <w:sz w:val="20"/>
          <w:szCs w:val="20"/>
        </w:rPr>
        <w:t xml:space="preserve"> </w:t>
      </w:r>
      <w:r w:rsidRPr="000A7B46">
        <w:rPr>
          <w:rFonts w:ascii="Times New Roman" w:eastAsia="TimesNewRomanPSMT" w:hAnsi="Times New Roman" w:cs="Times New Roman"/>
          <w:sz w:val="20"/>
          <w:szCs w:val="20"/>
        </w:rPr>
        <w:t>seviyede yapılır ve en düşük seviyede sonlanır (</w:t>
      </w:r>
      <w:proofErr w:type="spellStart"/>
      <w:r w:rsidRPr="000A7B46">
        <w:rPr>
          <w:rFonts w:ascii="Times New Roman" w:eastAsia="TimesNewRomanPSMT" w:hAnsi="Times New Roman" w:cs="Times New Roman"/>
          <w:sz w:val="20"/>
          <w:szCs w:val="20"/>
        </w:rPr>
        <w:t>Albayrak</w:t>
      </w:r>
      <w:proofErr w:type="spellEnd"/>
      <w:r w:rsidRPr="000A7B46">
        <w:rPr>
          <w:rFonts w:ascii="Times New Roman" w:eastAsia="TimesNewRomanPSMT" w:hAnsi="Times New Roman" w:cs="Times New Roman"/>
          <w:sz w:val="20"/>
          <w:szCs w:val="20"/>
        </w:rPr>
        <w:t xml:space="preserve"> ve </w:t>
      </w:r>
      <w:proofErr w:type="spellStart"/>
      <w:r w:rsidRPr="000A7B46">
        <w:rPr>
          <w:rFonts w:ascii="Times New Roman" w:eastAsia="TimesNewRomanPSMT" w:hAnsi="Times New Roman" w:cs="Times New Roman"/>
          <w:sz w:val="20"/>
          <w:szCs w:val="20"/>
        </w:rPr>
        <w:t>Erensal</w:t>
      </w:r>
      <w:proofErr w:type="spellEnd"/>
      <w:r w:rsidRPr="000A7B46">
        <w:rPr>
          <w:rFonts w:ascii="Times New Roman" w:eastAsia="TimesNewRomanPSMT" w:hAnsi="Times New Roman" w:cs="Times New Roman"/>
          <w:sz w:val="20"/>
          <w:szCs w:val="20"/>
        </w:rPr>
        <w:t>, 2004). AHP tekniğinde ikili karşılaştırmalar yapılırken</w:t>
      </w:r>
    </w:p>
    <w:p w:rsidR="000A7B46" w:rsidRDefault="000A7B46" w:rsidP="000A7B46">
      <w:pPr>
        <w:autoSpaceDE w:val="0"/>
        <w:autoSpaceDN w:val="0"/>
        <w:adjustRightInd w:val="0"/>
        <w:spacing w:after="0" w:line="240" w:lineRule="auto"/>
        <w:rPr>
          <w:rFonts w:ascii="Times New Roman" w:eastAsia="TimesNewRomanPSMT" w:hAnsi="Times New Roman" w:cs="Times New Roman"/>
          <w:sz w:val="20"/>
          <w:szCs w:val="20"/>
        </w:rPr>
      </w:pPr>
      <w:r w:rsidRPr="000A7B46">
        <w:rPr>
          <w:rFonts w:ascii="Times New Roman" w:eastAsia="TimesNewRomanPSMT" w:hAnsi="Times New Roman" w:cs="Times New Roman"/>
          <w:sz w:val="20"/>
          <w:szCs w:val="20"/>
        </w:rPr>
        <w:t>Çizelge 1’de sunulan standardize edilmiş dokuz seviyeli karşılaştırma ölçeği kullanılır (</w:t>
      </w:r>
      <w:proofErr w:type="spellStart"/>
      <w:r w:rsidRPr="000A7B46">
        <w:rPr>
          <w:rFonts w:ascii="Times New Roman" w:eastAsia="TimesNewRomanPSMT" w:hAnsi="Times New Roman" w:cs="Times New Roman"/>
          <w:sz w:val="20"/>
          <w:szCs w:val="20"/>
        </w:rPr>
        <w:t>Saaty</w:t>
      </w:r>
      <w:proofErr w:type="spellEnd"/>
      <w:r w:rsidRPr="000A7B46">
        <w:rPr>
          <w:rFonts w:ascii="Times New Roman" w:eastAsia="TimesNewRomanPSMT" w:hAnsi="Times New Roman" w:cs="Times New Roman"/>
          <w:sz w:val="20"/>
          <w:szCs w:val="20"/>
        </w:rPr>
        <w:t xml:space="preserve">, 1994; </w:t>
      </w:r>
      <w:proofErr w:type="spellStart"/>
      <w:r w:rsidRPr="000A7B46">
        <w:rPr>
          <w:rFonts w:ascii="Times New Roman" w:eastAsia="TimesNewRomanPSMT" w:hAnsi="Times New Roman" w:cs="Times New Roman"/>
          <w:sz w:val="20"/>
          <w:szCs w:val="20"/>
        </w:rPr>
        <w:t>Bhutta</w:t>
      </w:r>
      <w:proofErr w:type="spellEnd"/>
      <w:r w:rsidRPr="000A7B46">
        <w:rPr>
          <w:rFonts w:ascii="Times New Roman" w:eastAsia="TimesNewRomanPSMT" w:hAnsi="Times New Roman" w:cs="Times New Roman"/>
          <w:sz w:val="20"/>
          <w:szCs w:val="20"/>
        </w:rPr>
        <w:t xml:space="preserve"> ve </w:t>
      </w:r>
      <w:proofErr w:type="spellStart"/>
      <w:r w:rsidRPr="000A7B46">
        <w:rPr>
          <w:rFonts w:ascii="Times New Roman" w:eastAsia="TimesNewRomanPSMT" w:hAnsi="Times New Roman" w:cs="Times New Roman"/>
          <w:sz w:val="20"/>
          <w:szCs w:val="20"/>
        </w:rPr>
        <w:t>Huq</w:t>
      </w:r>
      <w:proofErr w:type="spellEnd"/>
      <w:r w:rsidRPr="000A7B46">
        <w:rPr>
          <w:rFonts w:ascii="Times New Roman" w:eastAsia="TimesNewRomanPSMT" w:hAnsi="Times New Roman" w:cs="Times New Roman"/>
          <w:sz w:val="20"/>
          <w:szCs w:val="20"/>
        </w:rPr>
        <w:t>, 2002)</w:t>
      </w:r>
    </w:p>
    <w:p w:rsidR="00305291" w:rsidRDefault="00305291" w:rsidP="000A7B46">
      <w:pPr>
        <w:autoSpaceDE w:val="0"/>
        <w:autoSpaceDN w:val="0"/>
        <w:adjustRightInd w:val="0"/>
        <w:spacing w:after="0" w:line="240" w:lineRule="auto"/>
        <w:rPr>
          <w:rFonts w:ascii="Times New Roman" w:eastAsia="TimesNewRomanPSMT" w:hAnsi="Times New Roman" w:cs="Times New Roman"/>
          <w:sz w:val="20"/>
          <w:szCs w:val="20"/>
        </w:rPr>
      </w:pPr>
    </w:p>
    <w:p w:rsidR="00305291" w:rsidRDefault="00305291" w:rsidP="000A7B46">
      <w:pPr>
        <w:autoSpaceDE w:val="0"/>
        <w:autoSpaceDN w:val="0"/>
        <w:adjustRightInd w:val="0"/>
        <w:spacing w:after="0" w:line="240" w:lineRule="auto"/>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lastRenderedPageBreak/>
        <w:t xml:space="preserve">                                           </w:t>
      </w:r>
      <w:r w:rsidRPr="00305291">
        <w:rPr>
          <w:rFonts w:ascii="Times New Roman" w:eastAsia="TimesNewRomanPSMT" w:hAnsi="Times New Roman" w:cs="Times New Roman"/>
          <w:i/>
          <w:noProof/>
          <w:sz w:val="20"/>
          <w:szCs w:val="20"/>
        </w:rPr>
        <w:drawing>
          <wp:inline distT="0" distB="0" distL="0" distR="0">
            <wp:extent cx="2777589" cy="1727415"/>
            <wp:effectExtent l="19050" t="0" r="3711"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780170" cy="1729020"/>
                    </a:xfrm>
                    <a:prstGeom prst="rect">
                      <a:avLst/>
                    </a:prstGeom>
                    <a:noFill/>
                    <a:ln w="9525">
                      <a:noFill/>
                      <a:miter lim="800000"/>
                      <a:headEnd/>
                      <a:tailEnd/>
                    </a:ln>
                  </pic:spPr>
                </pic:pic>
              </a:graphicData>
            </a:graphic>
          </wp:inline>
        </w:drawing>
      </w:r>
    </w:p>
    <w:p w:rsidR="00305291" w:rsidRDefault="00305291" w:rsidP="000A7B46">
      <w:pPr>
        <w:autoSpaceDE w:val="0"/>
        <w:autoSpaceDN w:val="0"/>
        <w:adjustRightInd w:val="0"/>
        <w:spacing w:after="0" w:line="240" w:lineRule="auto"/>
        <w:rPr>
          <w:rFonts w:ascii="Times New Roman" w:eastAsia="TimesNewRomanPSMT" w:hAnsi="Times New Roman" w:cs="Times New Roman"/>
          <w:i/>
          <w:sz w:val="20"/>
          <w:szCs w:val="20"/>
        </w:rPr>
      </w:pPr>
    </w:p>
    <w:p w:rsidR="00305291" w:rsidRPr="00305291" w:rsidRDefault="00305291" w:rsidP="00305291">
      <w:pPr>
        <w:autoSpaceDE w:val="0"/>
        <w:autoSpaceDN w:val="0"/>
        <w:adjustRightInd w:val="0"/>
        <w:spacing w:after="0" w:line="240" w:lineRule="auto"/>
        <w:rPr>
          <w:rFonts w:ascii="Times New Roman" w:eastAsia="TimesNewRoman" w:hAnsi="Times New Roman" w:cs="Times New Roman"/>
          <w:sz w:val="20"/>
          <w:szCs w:val="20"/>
        </w:rPr>
      </w:pPr>
      <w:r w:rsidRPr="00305291">
        <w:rPr>
          <w:rFonts w:ascii="Times New Roman" w:eastAsia="TimesNewRoman" w:hAnsi="Times New Roman" w:cs="Times New Roman"/>
          <w:sz w:val="20"/>
          <w:szCs w:val="20"/>
        </w:rPr>
        <w:t xml:space="preserve">Kriter sayı </w:t>
      </w:r>
      <w:r w:rsidRPr="00305291">
        <w:rPr>
          <w:rFonts w:ascii="Times New Roman" w:eastAsia="TimesNewRoman" w:hAnsi="Times New Roman" w:cs="Times New Roman"/>
          <w:i/>
          <w:iCs/>
          <w:sz w:val="20"/>
          <w:szCs w:val="20"/>
        </w:rPr>
        <w:t xml:space="preserve">m </w:t>
      </w:r>
      <w:r w:rsidRPr="00305291">
        <w:rPr>
          <w:rFonts w:ascii="Times New Roman" w:eastAsia="TimesNewRoman" w:hAnsi="Times New Roman" w:cs="Times New Roman"/>
          <w:sz w:val="20"/>
          <w:szCs w:val="20"/>
        </w:rPr>
        <w:t>olan ikili karşılaşt</w:t>
      </w:r>
      <w:r>
        <w:rPr>
          <w:rFonts w:ascii="Times New Roman" w:eastAsia="Arial Unicode MS" w:hAnsi="Times New Roman" w:cs="Times New Roman"/>
          <w:sz w:val="20"/>
          <w:szCs w:val="20"/>
        </w:rPr>
        <w:t>ı</w:t>
      </w:r>
      <w:r w:rsidRPr="00305291">
        <w:rPr>
          <w:rFonts w:ascii="Times New Roman" w:eastAsia="TimesNewRoman" w:hAnsi="Times New Roman" w:cs="Times New Roman"/>
          <w:sz w:val="20"/>
          <w:szCs w:val="20"/>
        </w:rPr>
        <w:t>rman</w:t>
      </w:r>
      <w:r>
        <w:rPr>
          <w:rFonts w:ascii="Times New Roman" w:eastAsia="Arial Unicode MS" w:hAnsi="Times New Roman" w:cs="Times New Roman"/>
          <w:sz w:val="20"/>
          <w:szCs w:val="20"/>
        </w:rPr>
        <w:t>ı</w:t>
      </w:r>
      <w:r w:rsidRPr="00305291">
        <w:rPr>
          <w:rFonts w:ascii="Times New Roman" w:eastAsia="TimesNewRoman" w:hAnsi="Times New Roman" w:cs="Times New Roman"/>
          <w:sz w:val="20"/>
          <w:szCs w:val="20"/>
        </w:rPr>
        <w:t>n sonucu (</w:t>
      </w:r>
      <w:proofErr w:type="spellStart"/>
      <w:r w:rsidRPr="00305291">
        <w:rPr>
          <w:rFonts w:ascii="Times New Roman" w:eastAsia="TimesNewRoman" w:hAnsi="Times New Roman" w:cs="Times New Roman"/>
          <w:i/>
          <w:iCs/>
          <w:sz w:val="20"/>
          <w:szCs w:val="20"/>
        </w:rPr>
        <w:t>m</w:t>
      </w:r>
      <w:r>
        <w:rPr>
          <w:rFonts w:ascii="Times New Roman" w:eastAsia="TimesNewRoman" w:hAnsi="Times New Roman" w:cs="Times New Roman"/>
          <w:sz w:val="20"/>
          <w:szCs w:val="20"/>
        </w:rPr>
        <w:t>’</w:t>
      </w:r>
      <w:r w:rsidRPr="00305291">
        <w:rPr>
          <w:rFonts w:ascii="Times New Roman" w:eastAsia="TimesNewRoman" w:hAnsi="Times New Roman" w:cs="Times New Roman"/>
          <w:i/>
          <w:iCs/>
          <w:sz w:val="20"/>
          <w:szCs w:val="20"/>
        </w:rPr>
        <w:t>m</w:t>
      </w:r>
      <w:proofErr w:type="spellEnd"/>
      <w:r w:rsidRPr="00305291">
        <w:rPr>
          <w:rFonts w:ascii="Times New Roman" w:eastAsia="TimesNewRoman" w:hAnsi="Times New Roman" w:cs="Times New Roman"/>
          <w:sz w:val="20"/>
          <w:szCs w:val="20"/>
        </w:rPr>
        <w:t xml:space="preserve">) boyutlu bir </w:t>
      </w:r>
      <w:r w:rsidRPr="00305291">
        <w:rPr>
          <w:rFonts w:ascii="Times New Roman" w:eastAsia="TimesNewRoman" w:hAnsi="Times New Roman" w:cs="Times New Roman"/>
          <w:i/>
          <w:iCs/>
          <w:sz w:val="20"/>
          <w:szCs w:val="20"/>
        </w:rPr>
        <w:t xml:space="preserve">A </w:t>
      </w:r>
      <w:r w:rsidRPr="00305291">
        <w:rPr>
          <w:rFonts w:ascii="Times New Roman" w:eastAsia="TimesNewRoman" w:hAnsi="Times New Roman" w:cs="Times New Roman"/>
          <w:sz w:val="20"/>
          <w:szCs w:val="20"/>
        </w:rPr>
        <w:t>değerlendirme matrisinde özetlenebilir. Bu</w:t>
      </w:r>
    </w:p>
    <w:p w:rsidR="00305291" w:rsidRDefault="00305291" w:rsidP="00305291">
      <w:pPr>
        <w:autoSpaceDE w:val="0"/>
        <w:autoSpaceDN w:val="0"/>
        <w:adjustRightInd w:val="0"/>
        <w:spacing w:after="0" w:line="240" w:lineRule="auto"/>
        <w:rPr>
          <w:rFonts w:ascii="Times New Roman" w:eastAsia="TimesNewRoman" w:hAnsi="Times New Roman" w:cs="Times New Roman"/>
          <w:sz w:val="20"/>
          <w:szCs w:val="20"/>
        </w:rPr>
      </w:pPr>
      <w:r w:rsidRPr="00305291">
        <w:rPr>
          <w:rFonts w:ascii="Times New Roman" w:eastAsia="TimesNewRoman" w:hAnsi="Times New Roman" w:cs="Times New Roman"/>
          <w:sz w:val="20"/>
          <w:szCs w:val="20"/>
        </w:rPr>
        <w:t>matrisin her bir eleman</w:t>
      </w:r>
      <w:r>
        <w:rPr>
          <w:rFonts w:ascii="Times New Roman" w:eastAsia="TimesNewRoman" w:hAnsi="Times New Roman" w:cs="Times New Roman"/>
          <w:sz w:val="20"/>
          <w:szCs w:val="20"/>
        </w:rPr>
        <w:t>ı</w:t>
      </w:r>
      <w:r w:rsidRPr="00305291">
        <w:rPr>
          <w:rFonts w:ascii="Times New Roman" w:eastAsia="TimesNewRoman" w:hAnsi="Times New Roman" w:cs="Times New Roman"/>
          <w:sz w:val="20"/>
          <w:szCs w:val="20"/>
        </w:rPr>
        <w:t xml:space="preserve"> </w:t>
      </w:r>
      <w:proofErr w:type="spellStart"/>
      <w:r w:rsidRPr="00305291">
        <w:rPr>
          <w:rFonts w:ascii="Times New Roman" w:eastAsia="TimesNewRoman" w:hAnsi="Times New Roman" w:cs="Times New Roman"/>
          <w:i/>
          <w:iCs/>
          <w:sz w:val="20"/>
          <w:szCs w:val="20"/>
        </w:rPr>
        <w:t>a</w:t>
      </w:r>
      <w:r w:rsidRPr="00305291">
        <w:rPr>
          <w:rFonts w:ascii="Times New Roman" w:eastAsia="TimesNewRoman" w:hAnsi="Times New Roman" w:cs="Times New Roman"/>
          <w:i/>
          <w:iCs/>
          <w:sz w:val="13"/>
          <w:szCs w:val="13"/>
        </w:rPr>
        <w:t>ij</w:t>
      </w:r>
      <w:proofErr w:type="spellEnd"/>
      <w:r w:rsidRPr="00305291">
        <w:rPr>
          <w:rFonts w:ascii="Times New Roman" w:eastAsia="TimesNewRoman" w:hAnsi="Times New Roman" w:cs="Times New Roman"/>
          <w:i/>
          <w:iCs/>
          <w:sz w:val="13"/>
          <w:szCs w:val="13"/>
        </w:rPr>
        <w:t xml:space="preserve"> </w:t>
      </w:r>
      <w:r w:rsidRPr="00305291">
        <w:rPr>
          <w:rFonts w:ascii="Times New Roman" w:eastAsia="TimesNewRoman" w:hAnsi="Times New Roman" w:cs="Times New Roman"/>
          <w:sz w:val="20"/>
          <w:szCs w:val="20"/>
        </w:rPr>
        <w:t>(</w:t>
      </w:r>
      <w:r w:rsidRPr="00305291">
        <w:rPr>
          <w:rFonts w:ascii="Times New Roman" w:eastAsia="TimesNewRoman" w:hAnsi="Times New Roman" w:cs="Times New Roman"/>
          <w:i/>
          <w:iCs/>
          <w:sz w:val="20"/>
          <w:szCs w:val="20"/>
        </w:rPr>
        <w:t>i</w:t>
      </w:r>
      <w:r w:rsidRPr="00305291">
        <w:rPr>
          <w:rFonts w:ascii="Times New Roman" w:eastAsia="TimesNewRoman" w:hAnsi="Times New Roman" w:cs="Times New Roman"/>
          <w:sz w:val="20"/>
          <w:szCs w:val="20"/>
        </w:rPr>
        <w:t>,</w:t>
      </w:r>
      <w:r w:rsidRPr="00305291">
        <w:rPr>
          <w:rFonts w:ascii="Times New Roman" w:eastAsia="TimesNewRoman" w:hAnsi="Times New Roman" w:cs="Times New Roman"/>
          <w:i/>
          <w:iCs/>
          <w:sz w:val="20"/>
          <w:szCs w:val="20"/>
        </w:rPr>
        <w:t>j</w:t>
      </w:r>
      <w:r w:rsidRPr="00305291">
        <w:rPr>
          <w:rFonts w:ascii="Times New Roman" w:eastAsia="TimesNewRoman" w:hAnsi="Times New Roman" w:cs="Times New Roman"/>
          <w:sz w:val="20"/>
          <w:szCs w:val="20"/>
        </w:rPr>
        <w:t>=1,2</w:t>
      </w:r>
      <w:proofErr w:type="gramStart"/>
      <w:r w:rsidRPr="00305291">
        <w:rPr>
          <w:rFonts w:ascii="Times New Roman" w:eastAsia="TimesNewRoman" w:hAnsi="Times New Roman" w:cs="Times New Roman"/>
          <w:sz w:val="20"/>
          <w:szCs w:val="20"/>
        </w:rPr>
        <w:t>,…,</w:t>
      </w:r>
      <w:proofErr w:type="gramEnd"/>
      <w:r w:rsidRPr="00305291">
        <w:rPr>
          <w:rFonts w:ascii="Times New Roman" w:eastAsia="TimesNewRoman" w:hAnsi="Times New Roman" w:cs="Times New Roman"/>
          <w:i/>
          <w:iCs/>
          <w:sz w:val="20"/>
          <w:szCs w:val="20"/>
        </w:rPr>
        <w:t>m</w:t>
      </w:r>
      <w:r w:rsidRPr="00305291">
        <w:rPr>
          <w:rFonts w:ascii="Times New Roman" w:eastAsia="TimesNewRoman" w:hAnsi="Times New Roman" w:cs="Times New Roman"/>
          <w:sz w:val="20"/>
          <w:szCs w:val="20"/>
        </w:rPr>
        <w:t>) Eşitlik 1'de gösterilen kriter ağ</w:t>
      </w:r>
      <w:r>
        <w:rPr>
          <w:rFonts w:ascii="Times New Roman" w:eastAsia="Arial Unicode MS" w:hAnsi="Times New Roman" w:cs="Times New Roman"/>
          <w:sz w:val="20"/>
          <w:szCs w:val="20"/>
        </w:rPr>
        <w:t>ı</w:t>
      </w:r>
      <w:r w:rsidRPr="00305291">
        <w:rPr>
          <w:rFonts w:ascii="Times New Roman" w:eastAsia="TimesNewRoman" w:hAnsi="Times New Roman" w:cs="Times New Roman"/>
          <w:sz w:val="20"/>
          <w:szCs w:val="20"/>
        </w:rPr>
        <w:t>rl</w:t>
      </w:r>
      <w:r>
        <w:rPr>
          <w:rFonts w:ascii="Times New Roman" w:eastAsia="Arial Unicode MS" w:hAnsi="Times New Roman" w:cs="Times New Roman"/>
          <w:sz w:val="20"/>
          <w:szCs w:val="20"/>
        </w:rPr>
        <w:t>ı</w:t>
      </w:r>
      <w:r w:rsidRPr="00305291">
        <w:rPr>
          <w:rFonts w:ascii="Times New Roman" w:eastAsia="TimesNewRoman" w:hAnsi="Times New Roman" w:cs="Times New Roman"/>
          <w:sz w:val="20"/>
          <w:szCs w:val="20"/>
        </w:rPr>
        <w:t>klar</w:t>
      </w:r>
      <w:r>
        <w:rPr>
          <w:rFonts w:ascii="Times New Roman" w:eastAsia="Arial Unicode MS" w:hAnsi="Times New Roman" w:cs="Times New Roman"/>
          <w:sz w:val="20"/>
          <w:szCs w:val="20"/>
        </w:rPr>
        <w:t>ı</w:t>
      </w:r>
      <w:r w:rsidRPr="00305291">
        <w:rPr>
          <w:rFonts w:ascii="Times New Roman" w:eastAsia="TimesNewRoman" w:hAnsi="Times New Roman" w:cs="Times New Roman"/>
          <w:sz w:val="20"/>
          <w:szCs w:val="20"/>
        </w:rPr>
        <w:t>d</w:t>
      </w:r>
      <w:r>
        <w:rPr>
          <w:rFonts w:ascii="Times New Roman" w:eastAsia="Arial Unicode MS" w:hAnsi="Times New Roman" w:cs="Times New Roman"/>
          <w:sz w:val="20"/>
          <w:szCs w:val="20"/>
        </w:rPr>
        <w:t>ı</w:t>
      </w:r>
      <w:r w:rsidRPr="00305291">
        <w:rPr>
          <w:rFonts w:ascii="Times New Roman" w:eastAsia="TimesNewRoman" w:hAnsi="Times New Roman" w:cs="Times New Roman"/>
          <w:sz w:val="20"/>
          <w:szCs w:val="20"/>
        </w:rPr>
        <w:t>r.</w:t>
      </w:r>
    </w:p>
    <w:p w:rsidR="00305291" w:rsidRDefault="00305291" w:rsidP="00305291">
      <w:pPr>
        <w:autoSpaceDE w:val="0"/>
        <w:autoSpaceDN w:val="0"/>
        <w:adjustRightInd w:val="0"/>
        <w:spacing w:after="0" w:line="240" w:lineRule="auto"/>
        <w:rPr>
          <w:rFonts w:ascii="Times New Roman" w:eastAsia="TimesNewRoman" w:hAnsi="Times New Roman" w:cs="Times New Roman"/>
          <w:sz w:val="20"/>
          <w:szCs w:val="20"/>
        </w:rPr>
      </w:pPr>
    </w:p>
    <w:p w:rsidR="00305291" w:rsidRDefault="00305291" w:rsidP="00305291">
      <w:pPr>
        <w:autoSpaceDE w:val="0"/>
        <w:autoSpaceDN w:val="0"/>
        <w:adjustRightInd w:val="0"/>
        <w:spacing w:after="0" w:line="240" w:lineRule="auto"/>
        <w:rPr>
          <w:rFonts w:ascii="Times New Roman" w:eastAsia="TimesNewRomanPSMT" w:hAnsi="Times New Roman" w:cs="Times New Roman"/>
          <w:i/>
          <w:sz w:val="20"/>
          <w:szCs w:val="20"/>
        </w:rPr>
      </w:pPr>
    </w:p>
    <w:p w:rsidR="00305291" w:rsidRPr="00E2341D" w:rsidRDefault="00305291" w:rsidP="00E2341D">
      <w:pPr>
        <w:autoSpaceDE w:val="0"/>
        <w:autoSpaceDN w:val="0"/>
        <w:adjustRightInd w:val="0"/>
        <w:spacing w:after="0" w:line="240" w:lineRule="auto"/>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 xml:space="preserve">                                                              </w:t>
      </w:r>
      <w:r>
        <w:rPr>
          <w:rFonts w:ascii="Times New Roman" w:eastAsia="TimesNewRomanPSMT" w:hAnsi="Times New Roman" w:cs="Times New Roman"/>
          <w:i/>
          <w:noProof/>
          <w:sz w:val="20"/>
          <w:szCs w:val="20"/>
        </w:rPr>
        <w:drawing>
          <wp:inline distT="0" distB="0" distL="0" distR="0">
            <wp:extent cx="2078839" cy="73627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2078596" cy="736184"/>
                    </a:xfrm>
                    <a:prstGeom prst="rect">
                      <a:avLst/>
                    </a:prstGeom>
                    <a:noFill/>
                    <a:ln w="9525">
                      <a:noFill/>
                      <a:miter lim="800000"/>
                      <a:headEnd/>
                      <a:tailEnd/>
                    </a:ln>
                  </pic:spPr>
                </pic:pic>
              </a:graphicData>
            </a:graphic>
          </wp:inline>
        </w:drawing>
      </w:r>
      <w:r w:rsidR="00E2341D">
        <w:rPr>
          <w:rFonts w:ascii="Times New Roman" w:eastAsia="TimesNewRomanPSMT" w:hAnsi="Times New Roman" w:cs="Times New Roman"/>
          <w:i/>
          <w:sz w:val="20"/>
          <w:szCs w:val="20"/>
        </w:rPr>
        <w:tab/>
      </w:r>
      <w:r w:rsidR="00E2341D">
        <w:rPr>
          <w:rFonts w:ascii="Times New Roman" w:eastAsia="TimesNewRomanPSMT" w:hAnsi="Times New Roman" w:cs="Times New Roman"/>
          <w:noProof/>
          <w:sz w:val="20"/>
          <w:szCs w:val="20"/>
        </w:rPr>
        <w:t>Eşitlik 1.</w:t>
      </w:r>
    </w:p>
    <w:p w:rsidR="00305291" w:rsidRDefault="00305291" w:rsidP="00305291">
      <w:pPr>
        <w:autoSpaceDE w:val="0"/>
        <w:autoSpaceDN w:val="0"/>
        <w:adjustRightInd w:val="0"/>
        <w:spacing w:after="0" w:line="240" w:lineRule="auto"/>
        <w:rPr>
          <w:rFonts w:ascii="Times New Roman" w:eastAsia="TimesNewRomanPSMT" w:hAnsi="Times New Roman" w:cs="Times New Roman"/>
          <w:i/>
          <w:sz w:val="20"/>
          <w:szCs w:val="20"/>
        </w:rPr>
      </w:pPr>
    </w:p>
    <w:p w:rsidR="00305291" w:rsidRDefault="00305291" w:rsidP="00305291">
      <w:pPr>
        <w:autoSpaceDE w:val="0"/>
        <w:autoSpaceDN w:val="0"/>
        <w:adjustRightInd w:val="0"/>
        <w:spacing w:after="0" w:line="240" w:lineRule="auto"/>
        <w:rPr>
          <w:rFonts w:ascii="Times New Roman" w:eastAsia="TimesNewRomanPSMT" w:hAnsi="Times New Roman" w:cs="Times New Roman"/>
          <w:sz w:val="20"/>
          <w:szCs w:val="20"/>
        </w:rPr>
      </w:pPr>
      <w:r w:rsidRPr="00305291">
        <w:rPr>
          <w:rFonts w:ascii="Times New Roman" w:eastAsia="TimesNewRomanPSMT" w:hAnsi="Times New Roman" w:cs="Times New Roman"/>
          <w:sz w:val="20"/>
          <w:szCs w:val="20"/>
        </w:rPr>
        <w:t xml:space="preserve">Son adımda matematiksel </w:t>
      </w:r>
      <w:proofErr w:type="gramStart"/>
      <w:r w:rsidRPr="00305291">
        <w:rPr>
          <w:rFonts w:ascii="Times New Roman" w:eastAsia="TimesNewRomanPSMT" w:hAnsi="Times New Roman" w:cs="Times New Roman"/>
          <w:sz w:val="20"/>
          <w:szCs w:val="20"/>
        </w:rPr>
        <w:t>proses</w:t>
      </w:r>
      <w:proofErr w:type="gramEnd"/>
      <w:r w:rsidRPr="00305291">
        <w:rPr>
          <w:rFonts w:ascii="Times New Roman" w:eastAsia="TimesNewRomanPSMT" w:hAnsi="Times New Roman" w:cs="Times New Roman"/>
          <w:sz w:val="20"/>
          <w:szCs w:val="20"/>
        </w:rPr>
        <w:t xml:space="preserve">, </w:t>
      </w:r>
      <w:proofErr w:type="spellStart"/>
      <w:r w:rsidRPr="00305291">
        <w:rPr>
          <w:rFonts w:ascii="Times New Roman" w:eastAsia="TimesNewRomanPSMT" w:hAnsi="Times New Roman" w:cs="Times New Roman"/>
          <w:sz w:val="20"/>
          <w:szCs w:val="20"/>
        </w:rPr>
        <w:t>normalize</w:t>
      </w:r>
      <w:proofErr w:type="spellEnd"/>
      <w:r w:rsidRPr="00305291">
        <w:rPr>
          <w:rFonts w:ascii="Times New Roman" w:eastAsia="TimesNewRomanPSMT" w:hAnsi="Times New Roman" w:cs="Times New Roman"/>
          <w:sz w:val="20"/>
          <w:szCs w:val="20"/>
        </w:rPr>
        <w:t xml:space="preserve"> etmek ve her bir matrisin göreli ağırlıklarını bulmak için çalıştırılır. Göreli</w:t>
      </w:r>
      <w:r>
        <w:rPr>
          <w:rFonts w:ascii="Times New Roman" w:eastAsia="TimesNewRomanPSMT" w:hAnsi="Times New Roman" w:cs="Times New Roman"/>
          <w:sz w:val="20"/>
          <w:szCs w:val="20"/>
        </w:rPr>
        <w:t xml:space="preserve"> </w:t>
      </w:r>
      <w:r w:rsidRPr="00305291">
        <w:rPr>
          <w:rFonts w:ascii="Times New Roman" w:eastAsia="TimesNewRomanPSMT" w:hAnsi="Times New Roman" w:cs="Times New Roman"/>
          <w:sz w:val="20"/>
          <w:szCs w:val="20"/>
        </w:rPr>
        <w:t xml:space="preserve">ağırlıklar en büyük </w:t>
      </w:r>
      <w:proofErr w:type="spellStart"/>
      <w:r w:rsidRPr="00305291">
        <w:rPr>
          <w:rFonts w:ascii="Times New Roman" w:eastAsia="TimesNewRomanPSMT" w:hAnsi="Times New Roman" w:cs="Times New Roman"/>
          <w:sz w:val="20"/>
          <w:szCs w:val="20"/>
        </w:rPr>
        <w:t>özdeğere</w:t>
      </w:r>
      <w:proofErr w:type="spellEnd"/>
      <w:r w:rsidRPr="00305291">
        <w:rPr>
          <w:rFonts w:ascii="Times New Roman" w:eastAsia="TimesNewRomanPSMT" w:hAnsi="Times New Roman" w:cs="Times New Roman"/>
          <w:sz w:val="20"/>
          <w:szCs w:val="20"/>
        </w:rPr>
        <w:t xml:space="preserve"> (</w:t>
      </w:r>
      <w:proofErr w:type="spellStart"/>
      <w:r w:rsidRPr="00305291">
        <w:rPr>
          <w:rFonts w:ascii="Times New Roman" w:eastAsia="TimesNewRomanPSMT" w:hAnsi="Times New Roman" w:cs="Times New Roman"/>
          <w:sz w:val="20"/>
          <w:szCs w:val="20"/>
        </w:rPr>
        <w:t>l</w:t>
      </w:r>
      <w:r w:rsidRPr="00305291">
        <w:rPr>
          <w:rFonts w:ascii="Times New Roman" w:eastAsia="TimesNewRomanPSMT" w:hAnsi="Times New Roman" w:cs="Times New Roman"/>
          <w:sz w:val="12"/>
          <w:szCs w:val="12"/>
        </w:rPr>
        <w:t>max</w:t>
      </w:r>
      <w:proofErr w:type="spellEnd"/>
      <w:r w:rsidRPr="00305291">
        <w:rPr>
          <w:rFonts w:ascii="Times New Roman" w:eastAsia="TimesNewRomanPSMT" w:hAnsi="Times New Roman" w:cs="Times New Roman"/>
          <w:sz w:val="20"/>
          <w:szCs w:val="20"/>
        </w:rPr>
        <w:t xml:space="preserve">) karşılık gelen sağ </w:t>
      </w:r>
      <w:proofErr w:type="spellStart"/>
      <w:r w:rsidRPr="00305291">
        <w:rPr>
          <w:rFonts w:ascii="Times New Roman" w:eastAsia="TimesNewRomanPSMT" w:hAnsi="Times New Roman" w:cs="Times New Roman"/>
          <w:sz w:val="20"/>
          <w:szCs w:val="20"/>
        </w:rPr>
        <w:t>özvektör</w:t>
      </w:r>
      <w:proofErr w:type="spellEnd"/>
      <w:r w:rsidRPr="00305291">
        <w:rPr>
          <w:rFonts w:ascii="Times New Roman" w:eastAsia="TimesNewRomanPSMT" w:hAnsi="Times New Roman" w:cs="Times New Roman"/>
          <w:sz w:val="20"/>
          <w:szCs w:val="20"/>
        </w:rPr>
        <w:t xml:space="preserve"> (</w:t>
      </w:r>
      <w:r w:rsidRPr="00305291">
        <w:rPr>
          <w:rFonts w:ascii="Times New Roman" w:eastAsia="TimesNewRomanPS-ItalicMT" w:hAnsi="Times New Roman" w:cs="Times New Roman"/>
          <w:i/>
          <w:iCs/>
          <w:sz w:val="20"/>
          <w:szCs w:val="20"/>
        </w:rPr>
        <w:t>w</w:t>
      </w:r>
      <w:r w:rsidRPr="00305291">
        <w:rPr>
          <w:rFonts w:ascii="Times New Roman" w:eastAsia="TimesNewRomanPSMT" w:hAnsi="Times New Roman" w:cs="Times New Roman"/>
          <w:sz w:val="20"/>
          <w:szCs w:val="20"/>
        </w:rPr>
        <w:t>) ile verilir</w:t>
      </w:r>
    </w:p>
    <w:p w:rsidR="00305291" w:rsidRDefault="00305291" w:rsidP="00305291">
      <w:pPr>
        <w:autoSpaceDE w:val="0"/>
        <w:autoSpaceDN w:val="0"/>
        <w:adjustRightInd w:val="0"/>
        <w:spacing w:after="0" w:line="240" w:lineRule="auto"/>
        <w:rPr>
          <w:rFonts w:ascii="Times New Roman" w:eastAsia="TimesNewRomanPSMT" w:hAnsi="Times New Roman" w:cs="Times New Roman"/>
          <w:sz w:val="20"/>
          <w:szCs w:val="20"/>
        </w:rPr>
      </w:pPr>
    </w:p>
    <w:p w:rsidR="00CB6C82" w:rsidRDefault="00CB6C82" w:rsidP="00305291">
      <w:pPr>
        <w:autoSpaceDE w:val="0"/>
        <w:autoSpaceDN w:val="0"/>
        <w:adjustRightInd w:val="0"/>
        <w:spacing w:after="0" w:line="240" w:lineRule="auto"/>
        <w:rPr>
          <w:rFonts w:ascii="Times New Roman" w:eastAsia="TimesNewRomanPSMT" w:hAnsi="Times New Roman" w:cs="Times New Roman"/>
          <w:sz w:val="20"/>
          <w:szCs w:val="20"/>
        </w:rPr>
      </w:pPr>
    </w:p>
    <w:p w:rsidR="00305291" w:rsidRDefault="00305291" w:rsidP="00305291">
      <w:pPr>
        <w:autoSpaceDE w:val="0"/>
        <w:autoSpaceDN w:val="0"/>
        <w:adjustRightInd w:val="0"/>
        <w:spacing w:after="0" w:line="240" w:lineRule="auto"/>
        <w:rPr>
          <w:rFonts w:ascii="Times New Roman" w:eastAsia="TimesNewRomanPSMT" w:hAnsi="Times New Roman" w:cs="Times New Roman"/>
          <w:sz w:val="20"/>
          <w:szCs w:val="20"/>
        </w:rPr>
      </w:pPr>
    </w:p>
    <w:p w:rsidR="00CB6C82" w:rsidRDefault="00305291" w:rsidP="00E2341D">
      <w:pPr>
        <w:autoSpaceDE w:val="0"/>
        <w:autoSpaceDN w:val="0"/>
        <w:adjustRightInd w:val="0"/>
        <w:spacing w:after="0" w:line="240" w:lineRule="auto"/>
        <w:rPr>
          <w:rFonts w:ascii="Times New Roman" w:eastAsia="TimesNewRomanPSMT" w:hAnsi="Times New Roman" w:cs="Times New Roman"/>
          <w:noProof/>
          <w:sz w:val="20"/>
          <w:szCs w:val="20"/>
        </w:rPr>
      </w:pPr>
      <w:r>
        <w:rPr>
          <w:rFonts w:ascii="Times New Roman" w:eastAsia="TimesNewRomanPSMT" w:hAnsi="Times New Roman" w:cs="Times New Roman"/>
          <w:noProof/>
          <w:sz w:val="20"/>
          <w:szCs w:val="20"/>
        </w:rPr>
        <w:t xml:space="preserve">                                                                        </w:t>
      </w:r>
      <w:r w:rsidR="00E2341D">
        <w:rPr>
          <w:rFonts w:ascii="Times New Roman" w:eastAsia="TimesNewRomanPSMT" w:hAnsi="Times New Roman" w:cs="Times New Roman"/>
          <w:noProof/>
          <w:sz w:val="20"/>
          <w:szCs w:val="20"/>
        </w:rPr>
        <w:t xml:space="preserve">    </w:t>
      </w:r>
      <w:r>
        <w:rPr>
          <w:rFonts w:ascii="Times New Roman" w:eastAsia="TimesNewRomanPSMT" w:hAnsi="Times New Roman" w:cs="Times New Roman"/>
          <w:noProof/>
          <w:sz w:val="20"/>
          <w:szCs w:val="20"/>
        </w:rPr>
        <w:drawing>
          <wp:inline distT="0" distB="0" distL="0" distR="0">
            <wp:extent cx="841911" cy="337761"/>
            <wp:effectExtent l="19050" t="0" r="0" b="0"/>
            <wp:docPr id="9" name="Resim 9" descr="C:\Users\DeSTeK\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STeK\Desktop\3.JPG"/>
                    <pic:cNvPicPr>
                      <a:picLocks noChangeAspect="1" noChangeArrowheads="1"/>
                    </pic:cNvPicPr>
                  </pic:nvPicPr>
                  <pic:blipFill>
                    <a:blip r:embed="rId6"/>
                    <a:srcRect/>
                    <a:stretch>
                      <a:fillRect/>
                    </a:stretch>
                  </pic:blipFill>
                  <pic:spPr bwMode="auto">
                    <a:xfrm>
                      <a:off x="0" y="0"/>
                      <a:ext cx="843369" cy="338346"/>
                    </a:xfrm>
                    <a:prstGeom prst="rect">
                      <a:avLst/>
                    </a:prstGeom>
                    <a:noFill/>
                    <a:ln w="9525">
                      <a:noFill/>
                      <a:miter lim="800000"/>
                      <a:headEnd/>
                      <a:tailEnd/>
                    </a:ln>
                  </pic:spPr>
                </pic:pic>
              </a:graphicData>
            </a:graphic>
          </wp:inline>
        </w:drawing>
      </w:r>
      <w:r w:rsidR="00E2341D" w:rsidRPr="00E2341D">
        <w:rPr>
          <w:rFonts w:ascii="Times New Roman" w:eastAsia="TimesNewRomanPSMT" w:hAnsi="Times New Roman" w:cs="Times New Roman"/>
          <w:noProof/>
          <w:sz w:val="20"/>
          <w:szCs w:val="20"/>
        </w:rPr>
        <w:t xml:space="preserve"> </w:t>
      </w:r>
      <w:r w:rsidR="00E2341D">
        <w:rPr>
          <w:rFonts w:ascii="Times New Roman" w:eastAsia="TimesNewRomanPSMT" w:hAnsi="Times New Roman" w:cs="Times New Roman"/>
          <w:noProof/>
          <w:sz w:val="20"/>
          <w:szCs w:val="20"/>
        </w:rPr>
        <w:t xml:space="preserve">                                      </w:t>
      </w:r>
    </w:p>
    <w:p w:rsidR="00E2341D" w:rsidRPr="00E2341D" w:rsidRDefault="00E2341D" w:rsidP="00CB6C82">
      <w:pPr>
        <w:autoSpaceDE w:val="0"/>
        <w:autoSpaceDN w:val="0"/>
        <w:adjustRightInd w:val="0"/>
        <w:spacing w:after="0" w:line="240" w:lineRule="auto"/>
        <w:ind w:left="6372" w:firstLine="708"/>
        <w:rPr>
          <w:rFonts w:ascii="Times New Roman" w:eastAsia="TimesNewRomanPSMT" w:hAnsi="Times New Roman" w:cs="Times New Roman"/>
          <w:noProof/>
          <w:sz w:val="20"/>
          <w:szCs w:val="20"/>
        </w:rPr>
      </w:pPr>
      <w:r>
        <w:rPr>
          <w:rFonts w:ascii="Times New Roman" w:eastAsia="TimesNewRomanPSMT" w:hAnsi="Times New Roman" w:cs="Times New Roman"/>
          <w:noProof/>
          <w:sz w:val="20"/>
          <w:szCs w:val="20"/>
        </w:rPr>
        <w:t>Eşitlik 2.</w:t>
      </w:r>
    </w:p>
    <w:p w:rsidR="00305291" w:rsidRDefault="00305291" w:rsidP="00305291">
      <w:pPr>
        <w:autoSpaceDE w:val="0"/>
        <w:autoSpaceDN w:val="0"/>
        <w:adjustRightInd w:val="0"/>
        <w:spacing w:after="0" w:line="240" w:lineRule="auto"/>
        <w:rPr>
          <w:rFonts w:ascii="Times New Roman" w:eastAsia="TimesNewRomanPSMT" w:hAnsi="Times New Roman" w:cs="Times New Roman"/>
          <w:noProof/>
          <w:sz w:val="20"/>
          <w:szCs w:val="20"/>
        </w:rPr>
      </w:pPr>
    </w:p>
    <w:p w:rsidR="00305291" w:rsidRDefault="00305291" w:rsidP="00305291">
      <w:pPr>
        <w:autoSpaceDE w:val="0"/>
        <w:autoSpaceDN w:val="0"/>
        <w:adjustRightInd w:val="0"/>
        <w:spacing w:after="0" w:line="240" w:lineRule="auto"/>
        <w:rPr>
          <w:rFonts w:ascii="Times New Roman" w:eastAsia="TimesNewRomanPSMT" w:hAnsi="Times New Roman" w:cs="Times New Roman"/>
          <w:noProof/>
          <w:sz w:val="20"/>
          <w:szCs w:val="20"/>
        </w:rPr>
      </w:pPr>
    </w:p>
    <w:p w:rsidR="00305291" w:rsidRDefault="00305291" w:rsidP="00305291">
      <w:pPr>
        <w:autoSpaceDE w:val="0"/>
        <w:autoSpaceDN w:val="0"/>
        <w:adjustRightInd w:val="0"/>
        <w:spacing w:after="0" w:line="240" w:lineRule="auto"/>
        <w:rPr>
          <w:rFonts w:ascii="Times New Roman" w:eastAsia="TimesNewRomanPSMT" w:hAnsi="Times New Roman" w:cs="Times New Roman"/>
          <w:sz w:val="20"/>
          <w:szCs w:val="20"/>
        </w:rPr>
      </w:pPr>
      <w:r w:rsidRPr="00305291">
        <w:rPr>
          <w:rFonts w:ascii="Times New Roman" w:eastAsia="TimesNewRomanPSMT" w:hAnsi="Times New Roman" w:cs="Times New Roman"/>
          <w:sz w:val="20"/>
          <w:szCs w:val="20"/>
        </w:rPr>
        <w:t xml:space="preserve">Eğer ikili karşılaştırmalar tamamıyla tutarlı ise </w:t>
      </w:r>
      <w:r w:rsidRPr="00305291">
        <w:rPr>
          <w:rFonts w:ascii="Times New Roman" w:eastAsia="TimesNewRomanPS-ItalicMT" w:hAnsi="Times New Roman" w:cs="Times New Roman"/>
          <w:i/>
          <w:iCs/>
          <w:sz w:val="20"/>
          <w:szCs w:val="20"/>
        </w:rPr>
        <w:t xml:space="preserve">A </w:t>
      </w:r>
      <w:r w:rsidRPr="00305291">
        <w:rPr>
          <w:rFonts w:ascii="Times New Roman" w:eastAsia="TimesNewRomanPSMT" w:hAnsi="Times New Roman" w:cs="Times New Roman"/>
          <w:sz w:val="20"/>
          <w:szCs w:val="20"/>
        </w:rPr>
        <w:t xml:space="preserve">matrisi 1 derecesine sahiptir ve </w:t>
      </w:r>
      <w:proofErr w:type="spellStart"/>
      <w:r w:rsidRPr="00305291">
        <w:rPr>
          <w:rFonts w:ascii="Times New Roman" w:eastAsia="TimesNewRomanPSMT" w:hAnsi="Times New Roman" w:cs="Times New Roman"/>
          <w:sz w:val="20"/>
          <w:szCs w:val="20"/>
        </w:rPr>
        <w:t>l</w:t>
      </w:r>
      <w:r w:rsidRPr="00305291">
        <w:rPr>
          <w:rFonts w:ascii="Times New Roman" w:eastAsia="TimesNewRomanPSMT" w:hAnsi="Times New Roman" w:cs="Times New Roman"/>
          <w:sz w:val="12"/>
          <w:szCs w:val="12"/>
        </w:rPr>
        <w:t>max</w:t>
      </w:r>
      <w:proofErr w:type="spellEnd"/>
      <w:r w:rsidRPr="00305291">
        <w:rPr>
          <w:rFonts w:ascii="Times New Roman" w:eastAsia="TimesNewRomanPSMT" w:hAnsi="Times New Roman" w:cs="Times New Roman"/>
          <w:sz w:val="20"/>
          <w:szCs w:val="20"/>
        </w:rPr>
        <w:t>=</w:t>
      </w:r>
      <w:r w:rsidRPr="00305291">
        <w:rPr>
          <w:rFonts w:ascii="Times New Roman" w:eastAsia="TimesNewRomanPS-ItalicMT" w:hAnsi="Times New Roman" w:cs="Times New Roman"/>
          <w:i/>
          <w:iCs/>
          <w:sz w:val="20"/>
          <w:szCs w:val="20"/>
        </w:rPr>
        <w:t xml:space="preserve">m </w:t>
      </w:r>
      <w:r w:rsidRPr="00305291">
        <w:rPr>
          <w:rFonts w:ascii="Times New Roman" w:eastAsia="TimesNewRomanPSMT" w:hAnsi="Times New Roman" w:cs="Times New Roman"/>
          <w:sz w:val="20"/>
          <w:szCs w:val="20"/>
        </w:rPr>
        <w:t xml:space="preserve">olur. Bu durumda </w:t>
      </w:r>
      <w:proofErr w:type="spellStart"/>
      <w:r w:rsidRPr="00305291">
        <w:rPr>
          <w:rFonts w:ascii="Times New Roman" w:eastAsia="TimesNewRomanPSMT" w:hAnsi="Times New Roman" w:cs="Times New Roman"/>
          <w:sz w:val="20"/>
          <w:szCs w:val="20"/>
        </w:rPr>
        <w:t>ağırlıklar</w:t>
      </w:r>
      <w:r>
        <w:rPr>
          <w:rFonts w:ascii="Times New Roman" w:eastAsia="TimesNewRomanPSMT" w:hAnsi="Times New Roman" w:cs="Times New Roman"/>
          <w:sz w:val="20"/>
          <w:szCs w:val="20"/>
        </w:rPr>
        <w:t>n</w:t>
      </w:r>
      <w:proofErr w:type="spellEnd"/>
      <w:r>
        <w:rPr>
          <w:rFonts w:ascii="Times New Roman" w:eastAsia="TimesNewRomanPSMT" w:hAnsi="Times New Roman" w:cs="Times New Roman"/>
          <w:sz w:val="20"/>
          <w:szCs w:val="20"/>
        </w:rPr>
        <w:t xml:space="preserve"> </w:t>
      </w:r>
      <w:proofErr w:type="spellStart"/>
      <w:r w:rsidRPr="00305291">
        <w:rPr>
          <w:rFonts w:ascii="Times New Roman" w:eastAsia="TimesNewRomanPS-ItalicMT" w:hAnsi="Times New Roman" w:cs="Times New Roman"/>
          <w:i/>
          <w:iCs/>
          <w:sz w:val="20"/>
          <w:szCs w:val="20"/>
        </w:rPr>
        <w:t>A</w:t>
      </w:r>
      <w:r w:rsidRPr="00305291">
        <w:rPr>
          <w:rFonts w:ascii="Times New Roman" w:eastAsia="TimesNewRomanPSMT" w:hAnsi="Times New Roman" w:cs="Times New Roman"/>
          <w:sz w:val="20"/>
          <w:szCs w:val="20"/>
        </w:rPr>
        <w:t>’nın</w:t>
      </w:r>
      <w:proofErr w:type="spellEnd"/>
      <w:r w:rsidRPr="00305291">
        <w:rPr>
          <w:rFonts w:ascii="Times New Roman" w:eastAsia="TimesNewRomanPSMT" w:hAnsi="Times New Roman" w:cs="Times New Roman"/>
          <w:sz w:val="20"/>
          <w:szCs w:val="20"/>
        </w:rPr>
        <w:t xml:space="preserve"> satır veya sütunlarının </w:t>
      </w:r>
      <w:proofErr w:type="spellStart"/>
      <w:r w:rsidRPr="00305291">
        <w:rPr>
          <w:rFonts w:ascii="Times New Roman" w:eastAsia="TimesNewRomanPSMT" w:hAnsi="Times New Roman" w:cs="Times New Roman"/>
          <w:sz w:val="20"/>
          <w:szCs w:val="20"/>
        </w:rPr>
        <w:t>normalizasyonu</w:t>
      </w:r>
      <w:proofErr w:type="spellEnd"/>
      <w:r w:rsidRPr="00305291">
        <w:rPr>
          <w:rFonts w:ascii="Times New Roman" w:eastAsia="TimesNewRomanPSMT" w:hAnsi="Times New Roman" w:cs="Times New Roman"/>
          <w:sz w:val="20"/>
          <w:szCs w:val="20"/>
        </w:rPr>
        <w:t xml:space="preserve"> ile elde edilir (</w:t>
      </w:r>
      <w:proofErr w:type="spellStart"/>
      <w:r w:rsidRPr="00305291">
        <w:rPr>
          <w:rFonts w:ascii="Times New Roman" w:eastAsia="TimesNewRomanPSMT" w:hAnsi="Times New Roman" w:cs="Times New Roman"/>
          <w:sz w:val="20"/>
          <w:szCs w:val="20"/>
        </w:rPr>
        <w:t>Albayrak</w:t>
      </w:r>
      <w:proofErr w:type="spellEnd"/>
      <w:r w:rsidRPr="00305291">
        <w:rPr>
          <w:rFonts w:ascii="Times New Roman" w:eastAsia="TimesNewRomanPSMT" w:hAnsi="Times New Roman" w:cs="Times New Roman"/>
          <w:sz w:val="20"/>
          <w:szCs w:val="20"/>
        </w:rPr>
        <w:t xml:space="preserve"> ve </w:t>
      </w:r>
      <w:proofErr w:type="spellStart"/>
      <w:r w:rsidRPr="00305291">
        <w:rPr>
          <w:rFonts w:ascii="Times New Roman" w:eastAsia="TimesNewRomanPSMT" w:hAnsi="Times New Roman" w:cs="Times New Roman"/>
          <w:sz w:val="20"/>
          <w:szCs w:val="20"/>
        </w:rPr>
        <w:t>Erensal</w:t>
      </w:r>
      <w:proofErr w:type="spellEnd"/>
      <w:r w:rsidRPr="00305291">
        <w:rPr>
          <w:rFonts w:ascii="Times New Roman" w:eastAsia="TimesNewRomanPSMT" w:hAnsi="Times New Roman" w:cs="Times New Roman"/>
          <w:sz w:val="20"/>
          <w:szCs w:val="20"/>
        </w:rPr>
        <w:t>, 2004). AHP tekniğinin çıktı kalitesi ikili</w:t>
      </w:r>
      <w:r>
        <w:rPr>
          <w:rFonts w:ascii="Times New Roman" w:eastAsia="TimesNewRomanPSMT" w:hAnsi="Times New Roman" w:cs="Times New Roman"/>
          <w:sz w:val="20"/>
          <w:szCs w:val="20"/>
        </w:rPr>
        <w:t xml:space="preserve"> </w:t>
      </w:r>
      <w:r w:rsidRPr="00305291">
        <w:rPr>
          <w:rFonts w:ascii="Times New Roman" w:eastAsia="TimesNewRomanPSMT" w:hAnsi="Times New Roman" w:cs="Times New Roman"/>
          <w:sz w:val="20"/>
          <w:szCs w:val="20"/>
        </w:rPr>
        <w:t xml:space="preserve">karşılaştırma değerlendirmelerinin tutarlılığı ile sıkı bir ilişki içerisindedir. Tutarlılık </w:t>
      </w:r>
      <w:r w:rsidRPr="00305291">
        <w:rPr>
          <w:rFonts w:ascii="Times New Roman" w:eastAsia="TimesNewRomanPS-ItalicMT" w:hAnsi="Times New Roman" w:cs="Times New Roman"/>
          <w:i/>
          <w:iCs/>
          <w:sz w:val="20"/>
          <w:szCs w:val="20"/>
        </w:rPr>
        <w:t>A</w:t>
      </w:r>
      <w:r w:rsidRPr="00305291">
        <w:rPr>
          <w:rFonts w:ascii="Times New Roman" w:eastAsia="TimesNewRomanPSMT" w:hAnsi="Times New Roman" w:cs="Times New Roman"/>
          <w:sz w:val="20"/>
          <w:szCs w:val="20"/>
        </w:rPr>
        <w:t xml:space="preserve">: </w:t>
      </w:r>
      <w:proofErr w:type="spellStart"/>
      <w:r w:rsidRPr="00305291">
        <w:rPr>
          <w:rFonts w:ascii="Times New Roman" w:eastAsia="TimesNewRomanPS-ItalicMT" w:hAnsi="Times New Roman" w:cs="Times New Roman"/>
          <w:i/>
          <w:iCs/>
          <w:sz w:val="20"/>
          <w:szCs w:val="20"/>
        </w:rPr>
        <w:t>a</w:t>
      </w:r>
      <w:r w:rsidRPr="00305291">
        <w:rPr>
          <w:rFonts w:ascii="Times New Roman" w:eastAsia="TimesNewRomanPS-ItalicMT" w:hAnsi="Times New Roman" w:cs="Times New Roman"/>
          <w:i/>
          <w:iCs/>
          <w:sz w:val="12"/>
          <w:szCs w:val="12"/>
        </w:rPr>
        <w:t>ij</w:t>
      </w:r>
      <w:proofErr w:type="spellEnd"/>
      <w:r w:rsidRPr="00305291">
        <w:rPr>
          <w:rFonts w:ascii="Times New Roman" w:eastAsia="TimesNewRomanPSMT" w:hAnsi="Times New Roman" w:cs="Times New Roman"/>
          <w:sz w:val="20"/>
          <w:szCs w:val="20"/>
        </w:rPr>
        <w:t>´</w:t>
      </w:r>
      <w:proofErr w:type="spellStart"/>
      <w:r w:rsidRPr="00305291">
        <w:rPr>
          <w:rFonts w:ascii="Times New Roman" w:eastAsia="TimesNewRomanPS-ItalicMT" w:hAnsi="Times New Roman" w:cs="Times New Roman"/>
          <w:i/>
          <w:iCs/>
          <w:sz w:val="20"/>
          <w:szCs w:val="20"/>
        </w:rPr>
        <w:t>a</w:t>
      </w:r>
      <w:r w:rsidRPr="00305291">
        <w:rPr>
          <w:rFonts w:ascii="Times New Roman" w:eastAsia="TimesNewRomanPS-ItalicMT" w:hAnsi="Times New Roman" w:cs="Times New Roman"/>
          <w:i/>
          <w:iCs/>
          <w:sz w:val="12"/>
          <w:szCs w:val="12"/>
        </w:rPr>
        <w:t>jk</w:t>
      </w:r>
      <w:proofErr w:type="spellEnd"/>
      <w:r w:rsidRPr="00305291">
        <w:rPr>
          <w:rFonts w:ascii="Times New Roman" w:eastAsia="TimesNewRomanPS-ItalicMT" w:hAnsi="Times New Roman" w:cs="Times New Roman"/>
          <w:i/>
          <w:iCs/>
          <w:sz w:val="12"/>
          <w:szCs w:val="12"/>
        </w:rPr>
        <w:t xml:space="preserve"> </w:t>
      </w:r>
      <w:r w:rsidRPr="00305291">
        <w:rPr>
          <w:rFonts w:ascii="Times New Roman" w:eastAsia="TimesNewRomanPSMT" w:hAnsi="Times New Roman" w:cs="Times New Roman"/>
          <w:sz w:val="20"/>
          <w:szCs w:val="20"/>
        </w:rPr>
        <w:t xml:space="preserve">= </w:t>
      </w:r>
      <w:proofErr w:type="spellStart"/>
      <w:r w:rsidRPr="00305291">
        <w:rPr>
          <w:rFonts w:ascii="Times New Roman" w:eastAsia="TimesNewRomanPS-ItalicMT" w:hAnsi="Times New Roman" w:cs="Times New Roman"/>
          <w:i/>
          <w:iCs/>
          <w:sz w:val="20"/>
          <w:szCs w:val="20"/>
        </w:rPr>
        <w:t>a</w:t>
      </w:r>
      <w:r w:rsidRPr="00305291">
        <w:rPr>
          <w:rFonts w:ascii="Times New Roman" w:eastAsia="TimesNewRomanPS-ItalicMT" w:hAnsi="Times New Roman" w:cs="Times New Roman"/>
          <w:i/>
          <w:iCs/>
          <w:sz w:val="12"/>
          <w:szCs w:val="12"/>
        </w:rPr>
        <w:t>ik</w:t>
      </w:r>
      <w:proofErr w:type="spellEnd"/>
      <w:r w:rsidRPr="00305291">
        <w:rPr>
          <w:rFonts w:ascii="Times New Roman" w:eastAsia="TimesNewRomanPS-ItalicMT" w:hAnsi="Times New Roman" w:cs="Times New Roman"/>
          <w:i/>
          <w:iCs/>
          <w:sz w:val="12"/>
          <w:szCs w:val="12"/>
        </w:rPr>
        <w:t xml:space="preserve"> </w:t>
      </w:r>
      <w:r w:rsidRPr="00305291">
        <w:rPr>
          <w:rFonts w:ascii="Times New Roman" w:eastAsia="TimesNewRomanPSMT" w:hAnsi="Times New Roman" w:cs="Times New Roman"/>
          <w:sz w:val="20"/>
          <w:szCs w:val="20"/>
        </w:rPr>
        <w:t>girişlerinin arasındaki ilişki</w:t>
      </w:r>
      <w:r>
        <w:rPr>
          <w:rFonts w:ascii="Times New Roman" w:eastAsia="TimesNewRomanPSMT" w:hAnsi="Times New Roman" w:cs="Times New Roman"/>
          <w:sz w:val="20"/>
          <w:szCs w:val="20"/>
        </w:rPr>
        <w:t xml:space="preserve"> </w:t>
      </w:r>
      <w:r w:rsidRPr="00305291">
        <w:rPr>
          <w:rFonts w:ascii="Times New Roman" w:eastAsia="TimesNewRomanPSMT" w:hAnsi="Times New Roman" w:cs="Times New Roman"/>
          <w:sz w:val="20"/>
          <w:szCs w:val="20"/>
        </w:rPr>
        <w:t>ile tanımlanır. Tutarlılık indeksi (CI) Eşitlik 3’teki gibi hesaplanır:</w:t>
      </w:r>
    </w:p>
    <w:p w:rsidR="00CB6C82" w:rsidRDefault="00CB6C82" w:rsidP="00305291">
      <w:pPr>
        <w:autoSpaceDE w:val="0"/>
        <w:autoSpaceDN w:val="0"/>
        <w:adjustRightInd w:val="0"/>
        <w:spacing w:after="0" w:line="240" w:lineRule="auto"/>
        <w:rPr>
          <w:rFonts w:ascii="Times New Roman" w:eastAsia="TimesNewRomanPSMT" w:hAnsi="Times New Roman" w:cs="Times New Roman"/>
          <w:sz w:val="20"/>
          <w:szCs w:val="20"/>
        </w:rPr>
      </w:pPr>
    </w:p>
    <w:p w:rsidR="00CB6C82" w:rsidRDefault="00CB6C82" w:rsidP="00305291">
      <w:pPr>
        <w:autoSpaceDE w:val="0"/>
        <w:autoSpaceDN w:val="0"/>
        <w:adjustRightInd w:val="0"/>
        <w:spacing w:after="0" w:line="240" w:lineRule="auto"/>
        <w:rPr>
          <w:rFonts w:ascii="Times New Roman" w:eastAsia="TimesNewRomanPSMT" w:hAnsi="Times New Roman" w:cs="Times New Roman"/>
          <w:sz w:val="20"/>
          <w:szCs w:val="20"/>
        </w:rPr>
      </w:pPr>
    </w:p>
    <w:p w:rsidR="00E2341D" w:rsidRDefault="00E2341D" w:rsidP="00305291">
      <w:pPr>
        <w:autoSpaceDE w:val="0"/>
        <w:autoSpaceDN w:val="0"/>
        <w:adjustRightInd w:val="0"/>
        <w:spacing w:after="0" w:line="240" w:lineRule="auto"/>
        <w:rPr>
          <w:rFonts w:ascii="Times New Roman" w:eastAsia="TimesNewRomanPSMT" w:hAnsi="Times New Roman" w:cs="Times New Roman"/>
          <w:sz w:val="20"/>
          <w:szCs w:val="20"/>
        </w:rPr>
      </w:pPr>
    </w:p>
    <w:p w:rsidR="00E2341D" w:rsidRDefault="00E2341D" w:rsidP="00305291">
      <w:pPr>
        <w:autoSpaceDE w:val="0"/>
        <w:autoSpaceDN w:val="0"/>
        <w:adjustRightInd w:val="0"/>
        <w:spacing w:after="0" w:line="240" w:lineRule="auto"/>
        <w:rPr>
          <w:rFonts w:ascii="Times New Roman" w:eastAsia="TimesNewRomanPSMT" w:hAnsi="Times New Roman" w:cs="Times New Roman"/>
          <w:sz w:val="20"/>
          <w:szCs w:val="20"/>
        </w:rPr>
      </w:pPr>
      <w:r>
        <w:rPr>
          <w:rFonts w:ascii="Times New Roman" w:eastAsia="TimesNewRomanPSMT" w:hAnsi="Times New Roman" w:cs="Times New Roman"/>
          <w:sz w:val="20"/>
          <w:szCs w:val="20"/>
        </w:rPr>
        <w:t xml:space="preserve">                                                               </w:t>
      </w:r>
      <w:r>
        <w:rPr>
          <w:rFonts w:ascii="Times New Roman" w:eastAsia="TimesNewRomanPSMT" w:hAnsi="Times New Roman" w:cs="Times New Roman"/>
          <w:noProof/>
          <w:sz w:val="20"/>
          <w:szCs w:val="20"/>
        </w:rPr>
        <w:t xml:space="preserve"> </w:t>
      </w:r>
      <w:r>
        <w:rPr>
          <w:rFonts w:ascii="Times New Roman" w:eastAsia="TimesNewRomanPSMT" w:hAnsi="Times New Roman" w:cs="Times New Roman"/>
          <w:noProof/>
          <w:sz w:val="20"/>
          <w:szCs w:val="20"/>
        </w:rPr>
        <w:drawing>
          <wp:inline distT="0" distB="0" distL="0" distR="0">
            <wp:extent cx="1340674" cy="250605"/>
            <wp:effectExtent l="19050" t="0" r="0" b="0"/>
            <wp:docPr id="10" name="Resim 10" descr="C:\Users\DeSTeK\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STeK\Desktop\4.JPG"/>
                    <pic:cNvPicPr>
                      <a:picLocks noChangeAspect="1" noChangeArrowheads="1"/>
                    </pic:cNvPicPr>
                  </pic:nvPicPr>
                  <pic:blipFill>
                    <a:blip r:embed="rId7"/>
                    <a:srcRect/>
                    <a:stretch>
                      <a:fillRect/>
                    </a:stretch>
                  </pic:blipFill>
                  <pic:spPr bwMode="auto">
                    <a:xfrm>
                      <a:off x="0" y="0"/>
                      <a:ext cx="1341432" cy="250747"/>
                    </a:xfrm>
                    <a:prstGeom prst="rect">
                      <a:avLst/>
                    </a:prstGeom>
                    <a:noFill/>
                    <a:ln w="9525">
                      <a:noFill/>
                      <a:miter lim="800000"/>
                      <a:headEnd/>
                      <a:tailEnd/>
                    </a:ln>
                  </pic:spPr>
                </pic:pic>
              </a:graphicData>
            </a:graphic>
          </wp:inline>
        </w:drawing>
      </w:r>
      <w:r w:rsidRPr="00E2341D">
        <w:rPr>
          <w:rFonts w:ascii="Times New Roman" w:eastAsia="TimesNewRomanPSMT" w:hAnsi="Times New Roman" w:cs="Times New Roman"/>
          <w:noProof/>
          <w:sz w:val="20"/>
          <w:szCs w:val="20"/>
        </w:rPr>
        <w:t xml:space="preserve"> </w:t>
      </w:r>
      <w:r>
        <w:rPr>
          <w:rFonts w:ascii="Times New Roman" w:eastAsia="TimesNewRomanPSMT" w:hAnsi="Times New Roman" w:cs="Times New Roman"/>
          <w:noProof/>
          <w:sz w:val="20"/>
          <w:szCs w:val="20"/>
        </w:rPr>
        <w:t xml:space="preserve">                                  Eşitlik 3.</w:t>
      </w:r>
    </w:p>
    <w:p w:rsidR="00E2341D" w:rsidRDefault="00E2341D" w:rsidP="00305291">
      <w:pPr>
        <w:autoSpaceDE w:val="0"/>
        <w:autoSpaceDN w:val="0"/>
        <w:adjustRightInd w:val="0"/>
        <w:spacing w:after="0" w:line="240" w:lineRule="auto"/>
        <w:rPr>
          <w:rFonts w:ascii="Times New Roman" w:eastAsia="TimesNewRomanPSMT" w:hAnsi="Times New Roman" w:cs="Times New Roman"/>
          <w:sz w:val="20"/>
          <w:szCs w:val="20"/>
        </w:rPr>
      </w:pPr>
    </w:p>
    <w:p w:rsidR="00E2341D" w:rsidRDefault="00E2341D" w:rsidP="00305291">
      <w:pPr>
        <w:autoSpaceDE w:val="0"/>
        <w:autoSpaceDN w:val="0"/>
        <w:adjustRightInd w:val="0"/>
        <w:spacing w:after="0" w:line="240" w:lineRule="auto"/>
        <w:rPr>
          <w:rFonts w:ascii="Times New Roman" w:eastAsia="TimesNewRomanPSMT" w:hAnsi="Times New Roman" w:cs="Times New Roman"/>
          <w:sz w:val="20"/>
          <w:szCs w:val="20"/>
        </w:rPr>
      </w:pPr>
      <w:r w:rsidRPr="00E2341D">
        <w:rPr>
          <w:rFonts w:ascii="Times New Roman" w:eastAsia="TimesNewRomanPSMT" w:hAnsi="Times New Roman" w:cs="Times New Roman"/>
          <w:sz w:val="20"/>
          <w:szCs w:val="20"/>
        </w:rPr>
        <w:t>Nihai tutarlılık oranı</w:t>
      </w:r>
      <w:r>
        <w:rPr>
          <w:rFonts w:ascii="Times New Roman" w:eastAsia="TimesNewRomanPSMT" w:hAnsi="Times New Roman" w:cs="Times New Roman"/>
          <w:sz w:val="20"/>
          <w:szCs w:val="20"/>
        </w:rPr>
        <w:t xml:space="preserve"> </w:t>
      </w:r>
      <w:r w:rsidRPr="00E2341D">
        <w:rPr>
          <w:rFonts w:ascii="Times New Roman" w:eastAsia="TimesNewRomanPSMT" w:hAnsi="Times New Roman" w:cs="Times New Roman"/>
          <w:sz w:val="20"/>
          <w:szCs w:val="20"/>
        </w:rPr>
        <w:t xml:space="preserve"> (CR), </w:t>
      </w:r>
      <w:proofErr w:type="spellStart"/>
      <w:r w:rsidRPr="00E2341D">
        <w:rPr>
          <w:rFonts w:ascii="Times New Roman" w:eastAsia="TimesNewRomanPSMT" w:hAnsi="Times New Roman" w:cs="Times New Roman"/>
          <w:sz w:val="20"/>
          <w:szCs w:val="20"/>
        </w:rPr>
        <w:t>CI’nın</w:t>
      </w:r>
      <w:proofErr w:type="spellEnd"/>
      <w:r>
        <w:rPr>
          <w:rFonts w:ascii="Times New Roman" w:eastAsia="TimesNewRomanPSMT" w:hAnsi="Times New Roman" w:cs="Times New Roman"/>
          <w:sz w:val="20"/>
          <w:szCs w:val="20"/>
        </w:rPr>
        <w:t xml:space="preserve"> rastsal indekse (RI)</w:t>
      </w:r>
      <w:r w:rsidRPr="00E2341D">
        <w:rPr>
          <w:rFonts w:ascii="Times New Roman" w:eastAsia="TimesNewRomanPSMT" w:hAnsi="Times New Roman" w:cs="Times New Roman"/>
          <w:sz w:val="20"/>
          <w:szCs w:val="20"/>
        </w:rPr>
        <w:t xml:space="preserve"> oranı</w:t>
      </w:r>
      <w:r>
        <w:rPr>
          <w:rFonts w:ascii="Times New Roman" w:eastAsia="TimesNewRomanPSMT" w:hAnsi="Times New Roman" w:cs="Times New Roman"/>
          <w:sz w:val="20"/>
          <w:szCs w:val="20"/>
        </w:rPr>
        <w:t xml:space="preserve"> Eşitlik</w:t>
      </w:r>
      <w:r w:rsidRPr="00E2341D">
        <w:rPr>
          <w:rFonts w:ascii="Times New Roman" w:eastAsia="TimesNewRomanPSMT" w:hAnsi="Times New Roman" w:cs="Times New Roman"/>
          <w:sz w:val="20"/>
          <w:szCs w:val="20"/>
        </w:rPr>
        <w:t xml:space="preserve"> 4’</w:t>
      </w:r>
      <w:r>
        <w:rPr>
          <w:rFonts w:ascii="Times New Roman" w:eastAsia="TimesNewRomanPSMT" w:hAnsi="Times New Roman" w:cs="Times New Roman"/>
          <w:sz w:val="20"/>
          <w:szCs w:val="20"/>
        </w:rPr>
        <w:t xml:space="preserve">teki gibi </w:t>
      </w:r>
      <w:r w:rsidRPr="00E2341D">
        <w:rPr>
          <w:rFonts w:ascii="Times New Roman" w:eastAsia="TimesNewRomanPSMT" w:hAnsi="Times New Roman" w:cs="Times New Roman"/>
          <w:sz w:val="20"/>
          <w:szCs w:val="20"/>
        </w:rPr>
        <w:t>hesaplanır</w:t>
      </w:r>
      <w:r>
        <w:rPr>
          <w:rFonts w:ascii="Times New Roman" w:eastAsia="TimesNewRomanPSMT" w:hAnsi="Times New Roman" w:cs="Times New Roman"/>
          <w:sz w:val="20"/>
          <w:szCs w:val="20"/>
        </w:rPr>
        <w:t xml:space="preserve">: </w:t>
      </w:r>
    </w:p>
    <w:p w:rsidR="00E2341D" w:rsidRDefault="00E2341D" w:rsidP="00305291">
      <w:pPr>
        <w:autoSpaceDE w:val="0"/>
        <w:autoSpaceDN w:val="0"/>
        <w:adjustRightInd w:val="0"/>
        <w:spacing w:after="0" w:line="240" w:lineRule="auto"/>
        <w:rPr>
          <w:rFonts w:ascii="Times New Roman" w:eastAsia="TimesNewRomanPSMT" w:hAnsi="Times New Roman" w:cs="Times New Roman"/>
          <w:sz w:val="20"/>
          <w:szCs w:val="20"/>
        </w:rPr>
      </w:pPr>
    </w:p>
    <w:p w:rsidR="00E2341D" w:rsidRDefault="00E2341D" w:rsidP="00305291">
      <w:pPr>
        <w:autoSpaceDE w:val="0"/>
        <w:autoSpaceDN w:val="0"/>
        <w:adjustRightInd w:val="0"/>
        <w:spacing w:after="0" w:line="240" w:lineRule="auto"/>
        <w:rPr>
          <w:rFonts w:ascii="Times New Roman" w:eastAsia="TimesNewRomanPSMT" w:hAnsi="Times New Roman" w:cs="Times New Roman"/>
          <w:sz w:val="20"/>
          <w:szCs w:val="20"/>
        </w:rPr>
      </w:pPr>
    </w:p>
    <w:p w:rsidR="00E2341D" w:rsidRDefault="00E2341D" w:rsidP="00305291">
      <w:pPr>
        <w:autoSpaceDE w:val="0"/>
        <w:autoSpaceDN w:val="0"/>
        <w:adjustRightInd w:val="0"/>
        <w:spacing w:after="0" w:line="240" w:lineRule="auto"/>
        <w:rPr>
          <w:rFonts w:ascii="Times New Roman" w:eastAsia="TimesNewRomanPSMT" w:hAnsi="Times New Roman" w:cs="Times New Roman"/>
          <w:noProof/>
          <w:sz w:val="20"/>
          <w:szCs w:val="20"/>
        </w:rPr>
      </w:pPr>
      <w:r>
        <w:rPr>
          <w:rFonts w:ascii="Times New Roman" w:eastAsia="TimesNewRomanPSMT" w:hAnsi="Times New Roman" w:cs="Times New Roman"/>
          <w:noProof/>
          <w:sz w:val="20"/>
          <w:szCs w:val="20"/>
        </w:rPr>
        <w:t xml:space="preserve">                                                                         </w:t>
      </w:r>
      <w:r>
        <w:rPr>
          <w:rFonts w:ascii="Times New Roman" w:eastAsia="TimesNewRomanPSMT" w:hAnsi="Times New Roman" w:cs="Times New Roman"/>
          <w:noProof/>
          <w:sz w:val="20"/>
          <w:szCs w:val="20"/>
        </w:rPr>
        <w:drawing>
          <wp:inline distT="0" distB="0" distL="0" distR="0">
            <wp:extent cx="1020041" cy="328604"/>
            <wp:effectExtent l="19050" t="0" r="8659" b="0"/>
            <wp:docPr id="11" name="Resim 11" descr="C:\Users\DeSTeK\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STeK\Desktop\5.JPG"/>
                    <pic:cNvPicPr>
                      <a:picLocks noChangeAspect="1" noChangeArrowheads="1"/>
                    </pic:cNvPicPr>
                  </pic:nvPicPr>
                  <pic:blipFill>
                    <a:blip r:embed="rId8"/>
                    <a:srcRect/>
                    <a:stretch>
                      <a:fillRect/>
                    </a:stretch>
                  </pic:blipFill>
                  <pic:spPr bwMode="auto">
                    <a:xfrm>
                      <a:off x="0" y="0"/>
                      <a:ext cx="1020041" cy="328604"/>
                    </a:xfrm>
                    <a:prstGeom prst="rect">
                      <a:avLst/>
                    </a:prstGeom>
                    <a:noFill/>
                    <a:ln w="9525">
                      <a:noFill/>
                      <a:miter lim="800000"/>
                      <a:headEnd/>
                      <a:tailEnd/>
                    </a:ln>
                  </pic:spPr>
                </pic:pic>
              </a:graphicData>
            </a:graphic>
          </wp:inline>
        </w:drawing>
      </w:r>
      <w:r>
        <w:rPr>
          <w:rFonts w:ascii="Times New Roman" w:eastAsia="TimesNewRomanPSMT" w:hAnsi="Times New Roman" w:cs="Times New Roman"/>
          <w:noProof/>
          <w:sz w:val="20"/>
          <w:szCs w:val="20"/>
        </w:rPr>
        <w:t xml:space="preserve">                                      Eşitlik 4.</w:t>
      </w:r>
    </w:p>
    <w:p w:rsidR="00E2341D" w:rsidRDefault="00E2341D" w:rsidP="00305291">
      <w:pPr>
        <w:autoSpaceDE w:val="0"/>
        <w:autoSpaceDN w:val="0"/>
        <w:adjustRightInd w:val="0"/>
        <w:spacing w:after="0" w:line="240" w:lineRule="auto"/>
        <w:rPr>
          <w:rFonts w:ascii="Times New Roman" w:eastAsia="TimesNewRomanPSMT" w:hAnsi="Times New Roman" w:cs="Times New Roman"/>
          <w:noProof/>
          <w:sz w:val="20"/>
          <w:szCs w:val="20"/>
        </w:rPr>
      </w:pPr>
    </w:p>
    <w:p w:rsidR="00E2341D" w:rsidRDefault="00E2341D" w:rsidP="00E2341D">
      <w:pPr>
        <w:autoSpaceDE w:val="0"/>
        <w:autoSpaceDN w:val="0"/>
        <w:adjustRightInd w:val="0"/>
        <w:spacing w:after="0" w:line="240" w:lineRule="auto"/>
        <w:rPr>
          <w:rFonts w:ascii="Times New Roman" w:eastAsia="TimesNewRomanPSMT" w:hAnsi="Times New Roman" w:cs="Times New Roman"/>
          <w:sz w:val="20"/>
          <w:szCs w:val="20"/>
        </w:rPr>
      </w:pPr>
      <w:r w:rsidRPr="00E2341D">
        <w:rPr>
          <w:rFonts w:ascii="Times New Roman" w:eastAsia="TimesNewRomanPSMT" w:hAnsi="Times New Roman" w:cs="Times New Roman"/>
          <w:sz w:val="20"/>
          <w:szCs w:val="20"/>
        </w:rPr>
        <w:t>Eğer CR 0,1’den küçük eşitse değerlendirmelerin tutarlılığı kabul edilebilir seviyededir. Ancak CR 0,1’den büyükse</w:t>
      </w:r>
      <w:r>
        <w:rPr>
          <w:rFonts w:ascii="Times New Roman" w:eastAsia="TimesNewRomanPSMT" w:hAnsi="Times New Roman" w:cs="Times New Roman"/>
          <w:sz w:val="20"/>
          <w:szCs w:val="20"/>
        </w:rPr>
        <w:t xml:space="preserve"> </w:t>
      </w:r>
      <w:r w:rsidRPr="00E2341D">
        <w:rPr>
          <w:rFonts w:ascii="Times New Roman" w:eastAsia="TimesNewRomanPSMT" w:hAnsi="Times New Roman" w:cs="Times New Roman"/>
          <w:sz w:val="20"/>
          <w:szCs w:val="20"/>
        </w:rPr>
        <w:t>tutarlılığın geliştirilmesi için değerlendirmelerin tekrar yapılması gerekmektedir. Tutarlılığın ölçümü tüm hiyerarşinin</w:t>
      </w:r>
      <w:r>
        <w:rPr>
          <w:rFonts w:ascii="Times New Roman" w:eastAsia="TimesNewRomanPSMT" w:hAnsi="Times New Roman" w:cs="Times New Roman"/>
          <w:sz w:val="20"/>
          <w:szCs w:val="20"/>
        </w:rPr>
        <w:t xml:space="preserve"> </w:t>
      </w:r>
      <w:r w:rsidRPr="00E2341D">
        <w:rPr>
          <w:rFonts w:ascii="Times New Roman" w:eastAsia="TimesNewRomanPSMT" w:hAnsi="Times New Roman" w:cs="Times New Roman"/>
          <w:sz w:val="20"/>
          <w:szCs w:val="20"/>
        </w:rPr>
        <w:t>tutarlılığı kadar karar vericilerin tutarlılığını değerlendirmek için de kullanılmaktadır</w:t>
      </w:r>
      <w:r>
        <w:rPr>
          <w:rFonts w:ascii="Times New Roman" w:eastAsia="TimesNewRomanPSMT" w:hAnsi="Times New Roman" w:cs="Times New Roman"/>
          <w:sz w:val="20"/>
          <w:szCs w:val="20"/>
        </w:rPr>
        <w:t>.</w:t>
      </w:r>
    </w:p>
    <w:p w:rsidR="00CB6C82" w:rsidRDefault="00CB6C82" w:rsidP="00E2341D">
      <w:pPr>
        <w:autoSpaceDE w:val="0"/>
        <w:autoSpaceDN w:val="0"/>
        <w:adjustRightInd w:val="0"/>
        <w:spacing w:after="0" w:line="240" w:lineRule="auto"/>
        <w:rPr>
          <w:rFonts w:ascii="Times New Roman" w:eastAsia="TimesNewRomanPSMT" w:hAnsi="Times New Roman" w:cs="Times New Roman"/>
          <w:sz w:val="20"/>
          <w:szCs w:val="20"/>
        </w:rPr>
      </w:pPr>
    </w:p>
    <w:p w:rsidR="00CB6C82" w:rsidRPr="00CB6C82" w:rsidRDefault="00CB6C82" w:rsidP="00CB6C82">
      <w:pPr>
        <w:autoSpaceDE w:val="0"/>
        <w:autoSpaceDN w:val="0"/>
        <w:adjustRightInd w:val="0"/>
        <w:spacing w:after="0" w:line="240" w:lineRule="auto"/>
        <w:rPr>
          <w:rFonts w:ascii="Times New Roman" w:eastAsia="TimesNewRomanPS-BoldMT" w:hAnsi="Times New Roman" w:cs="Times New Roman"/>
          <w:b/>
          <w:bCs/>
          <w:sz w:val="24"/>
          <w:szCs w:val="24"/>
        </w:rPr>
      </w:pPr>
      <w:r w:rsidRPr="00CB6C82">
        <w:rPr>
          <w:rFonts w:ascii="Times New Roman" w:eastAsia="TimesNewRomanPS-BoldMT" w:hAnsi="Times New Roman" w:cs="Times New Roman"/>
          <w:b/>
          <w:bCs/>
          <w:sz w:val="24"/>
          <w:szCs w:val="24"/>
        </w:rPr>
        <w:t xml:space="preserve"> SONUÇ</w:t>
      </w:r>
    </w:p>
    <w:p w:rsidR="00CB6C82" w:rsidRPr="00CB6C82" w:rsidRDefault="00CB6C82" w:rsidP="00CB6C82">
      <w:pPr>
        <w:autoSpaceDE w:val="0"/>
        <w:autoSpaceDN w:val="0"/>
        <w:adjustRightInd w:val="0"/>
        <w:spacing w:after="0" w:line="240" w:lineRule="auto"/>
        <w:rPr>
          <w:rFonts w:ascii="Times New Roman" w:eastAsia="TimesNewRomanPSMT" w:hAnsi="Times New Roman" w:cs="Times New Roman"/>
          <w:sz w:val="20"/>
          <w:szCs w:val="20"/>
        </w:rPr>
      </w:pPr>
      <w:r w:rsidRPr="00CB6C82">
        <w:rPr>
          <w:rFonts w:ascii="Times New Roman" w:eastAsia="TimesNewRomanPSMT" w:hAnsi="Times New Roman" w:cs="Times New Roman"/>
          <w:sz w:val="20"/>
          <w:szCs w:val="20"/>
        </w:rPr>
        <w:t>Tehlikeli maddelerin üretimi ve taşımacılığında sürekli bir artış yaşanması, tehlikeli maddelerin insanlara ve çevreye</w:t>
      </w:r>
      <w:r>
        <w:rPr>
          <w:rFonts w:ascii="Times New Roman" w:eastAsia="TimesNewRomanPSMT" w:hAnsi="Times New Roman" w:cs="Times New Roman"/>
          <w:sz w:val="20"/>
          <w:szCs w:val="20"/>
        </w:rPr>
        <w:t xml:space="preserve"> </w:t>
      </w:r>
      <w:r w:rsidRPr="00CB6C82">
        <w:rPr>
          <w:rFonts w:ascii="Times New Roman" w:eastAsia="TimesNewRomanPSMT" w:hAnsi="Times New Roman" w:cs="Times New Roman"/>
          <w:sz w:val="20"/>
          <w:szCs w:val="20"/>
        </w:rPr>
        <w:t>olası zararları sebebiyle bu konuya verilen önemde son yıllarda bir artış yaşanmaktadır. Tehlikeli madde taşımacılığı başta</w:t>
      </w:r>
      <w:r>
        <w:rPr>
          <w:rFonts w:ascii="Times New Roman" w:eastAsia="TimesNewRomanPSMT" w:hAnsi="Times New Roman" w:cs="Times New Roman"/>
          <w:sz w:val="20"/>
          <w:szCs w:val="20"/>
        </w:rPr>
        <w:t xml:space="preserve"> </w:t>
      </w:r>
      <w:r w:rsidRPr="00CB6C82">
        <w:rPr>
          <w:rFonts w:ascii="Times New Roman" w:eastAsia="TimesNewRomanPSMT" w:hAnsi="Times New Roman" w:cs="Times New Roman"/>
          <w:sz w:val="20"/>
          <w:szCs w:val="20"/>
        </w:rPr>
        <w:t>tehlikeli maddeleri gönderenler olmak üzere, tehlikeli maddeleri dolduran, yükleyen, boşaltan ve paketleyen çalışanları</w:t>
      </w:r>
      <w:r>
        <w:rPr>
          <w:rFonts w:ascii="Times New Roman" w:eastAsia="TimesNewRomanPSMT" w:hAnsi="Times New Roman" w:cs="Times New Roman"/>
          <w:sz w:val="20"/>
          <w:szCs w:val="20"/>
        </w:rPr>
        <w:t xml:space="preserve"> </w:t>
      </w:r>
      <w:r w:rsidRPr="00CB6C82">
        <w:rPr>
          <w:rFonts w:ascii="Times New Roman" w:eastAsia="TimesNewRomanPSMT" w:hAnsi="Times New Roman" w:cs="Times New Roman"/>
          <w:sz w:val="20"/>
          <w:szCs w:val="20"/>
        </w:rPr>
        <w:t>önemli ölçüde etkilemektedir. Bununla birlikte, bu maddelerin alıcılarını, takip ettikleri güzergâhta yaşayan insanları, idari</w:t>
      </w:r>
      <w:r>
        <w:rPr>
          <w:rFonts w:ascii="Times New Roman" w:eastAsia="TimesNewRomanPSMT" w:hAnsi="Times New Roman" w:cs="Times New Roman"/>
          <w:sz w:val="20"/>
          <w:szCs w:val="20"/>
        </w:rPr>
        <w:t xml:space="preserve"> </w:t>
      </w:r>
      <w:r w:rsidRPr="00CB6C82">
        <w:rPr>
          <w:rFonts w:ascii="Times New Roman" w:eastAsia="TimesNewRomanPSMT" w:hAnsi="Times New Roman" w:cs="Times New Roman"/>
          <w:sz w:val="20"/>
          <w:szCs w:val="20"/>
        </w:rPr>
        <w:t xml:space="preserve">ve mülki amirleri de yakından ilgilendirmektedir. Günlük hayatı sürdürmek </w:t>
      </w:r>
      <w:r w:rsidRPr="00CB6C82">
        <w:rPr>
          <w:rFonts w:ascii="Times New Roman" w:eastAsia="TimesNewRomanPSMT" w:hAnsi="Times New Roman" w:cs="Times New Roman"/>
          <w:sz w:val="20"/>
          <w:szCs w:val="20"/>
        </w:rPr>
        <w:lastRenderedPageBreak/>
        <w:t>veya fabrikalarda üretim için kullanılan tehlikeli</w:t>
      </w:r>
      <w:r>
        <w:rPr>
          <w:rFonts w:ascii="Times New Roman" w:eastAsia="TimesNewRomanPSMT" w:hAnsi="Times New Roman" w:cs="Times New Roman"/>
          <w:sz w:val="20"/>
          <w:szCs w:val="20"/>
        </w:rPr>
        <w:t xml:space="preserve"> </w:t>
      </w:r>
      <w:r w:rsidRPr="00CB6C82">
        <w:rPr>
          <w:rFonts w:ascii="Times New Roman" w:eastAsia="TimesNewRomanPSMT" w:hAnsi="Times New Roman" w:cs="Times New Roman"/>
          <w:sz w:val="20"/>
          <w:szCs w:val="20"/>
        </w:rPr>
        <w:t>maddelerin haricinde, şehirlerde ve endüstriyel tesislerde ortaya çıkan atıkların yeniden değerlendirilmek, imha edilmek veya</w:t>
      </w:r>
      <w:r>
        <w:rPr>
          <w:rFonts w:ascii="Times New Roman" w:eastAsia="TimesNewRomanPSMT" w:hAnsi="Times New Roman" w:cs="Times New Roman"/>
          <w:sz w:val="20"/>
          <w:szCs w:val="20"/>
        </w:rPr>
        <w:t xml:space="preserve"> </w:t>
      </w:r>
      <w:r w:rsidRPr="00CB6C82">
        <w:rPr>
          <w:rFonts w:ascii="Times New Roman" w:eastAsia="TimesNewRomanPSMT" w:hAnsi="Times New Roman" w:cs="Times New Roman"/>
          <w:sz w:val="20"/>
          <w:szCs w:val="20"/>
        </w:rPr>
        <w:t xml:space="preserve">depolanmak üzere taşınması, </w:t>
      </w:r>
      <w:proofErr w:type="spellStart"/>
      <w:r w:rsidRPr="00CB6C82">
        <w:rPr>
          <w:rFonts w:ascii="Times New Roman" w:eastAsia="TimesNewRomanPSMT" w:hAnsi="Times New Roman" w:cs="Times New Roman"/>
          <w:sz w:val="20"/>
          <w:szCs w:val="20"/>
        </w:rPr>
        <w:t>TEHMAT’ın</w:t>
      </w:r>
      <w:proofErr w:type="spellEnd"/>
      <w:r w:rsidRPr="00CB6C82">
        <w:rPr>
          <w:rFonts w:ascii="Times New Roman" w:eastAsia="TimesNewRomanPSMT" w:hAnsi="Times New Roman" w:cs="Times New Roman"/>
          <w:sz w:val="20"/>
          <w:szCs w:val="20"/>
        </w:rPr>
        <w:t xml:space="preserve"> önemini arttırmıştır. Bu nedenle çalışmada TEHMAT risk değerlendirmesi için</w:t>
      </w:r>
    </w:p>
    <w:p w:rsidR="00CB6C82" w:rsidRPr="00CB6C82" w:rsidRDefault="00CB6C82" w:rsidP="00CB6C82">
      <w:pPr>
        <w:autoSpaceDE w:val="0"/>
        <w:autoSpaceDN w:val="0"/>
        <w:adjustRightInd w:val="0"/>
        <w:spacing w:after="0" w:line="240" w:lineRule="auto"/>
        <w:rPr>
          <w:rFonts w:ascii="Times New Roman" w:eastAsia="TimesNewRomanPSMT" w:hAnsi="Times New Roman" w:cs="Times New Roman"/>
          <w:sz w:val="20"/>
          <w:szCs w:val="20"/>
        </w:rPr>
      </w:pPr>
      <w:proofErr w:type="gramStart"/>
      <w:r w:rsidRPr="00CB6C82">
        <w:rPr>
          <w:rFonts w:ascii="Times New Roman" w:eastAsia="TimesNewRomanPSMT" w:hAnsi="Times New Roman" w:cs="Times New Roman"/>
          <w:sz w:val="20"/>
          <w:szCs w:val="20"/>
        </w:rPr>
        <w:t>indeks</w:t>
      </w:r>
      <w:proofErr w:type="gramEnd"/>
      <w:r w:rsidRPr="00CB6C82">
        <w:rPr>
          <w:rFonts w:ascii="Times New Roman" w:eastAsia="TimesNewRomanPSMT" w:hAnsi="Times New Roman" w:cs="Times New Roman"/>
          <w:sz w:val="20"/>
          <w:szCs w:val="20"/>
        </w:rPr>
        <w:t xml:space="preserve"> geliştirilmiştir.</w:t>
      </w:r>
      <w:r>
        <w:rPr>
          <w:rFonts w:ascii="Times New Roman" w:eastAsia="TimesNewRomanPSMT" w:hAnsi="Times New Roman" w:cs="Times New Roman"/>
          <w:sz w:val="20"/>
          <w:szCs w:val="20"/>
        </w:rPr>
        <w:t xml:space="preserve"> </w:t>
      </w:r>
      <w:r w:rsidRPr="00CB6C82">
        <w:rPr>
          <w:rFonts w:ascii="Times New Roman" w:eastAsia="TimesNewRomanPSMT" w:hAnsi="Times New Roman" w:cs="Times New Roman"/>
          <w:sz w:val="20"/>
          <w:szCs w:val="20"/>
        </w:rPr>
        <w:t xml:space="preserve">Tehlikeli maddeler farklı taşıma </w:t>
      </w:r>
      <w:proofErr w:type="spellStart"/>
      <w:r w:rsidRPr="00CB6C82">
        <w:rPr>
          <w:rFonts w:ascii="Times New Roman" w:eastAsia="TimesNewRomanPSMT" w:hAnsi="Times New Roman" w:cs="Times New Roman"/>
          <w:sz w:val="20"/>
          <w:szCs w:val="20"/>
        </w:rPr>
        <w:t>modlarıyla</w:t>
      </w:r>
      <w:proofErr w:type="spellEnd"/>
      <w:r w:rsidRPr="00CB6C82">
        <w:rPr>
          <w:rFonts w:ascii="Times New Roman" w:eastAsia="TimesNewRomanPSMT" w:hAnsi="Times New Roman" w:cs="Times New Roman"/>
          <w:sz w:val="20"/>
          <w:szCs w:val="20"/>
        </w:rPr>
        <w:t xml:space="preserve"> taşınmasına rağmen çoğunlukla ülkemizde de karayolu ile taşınmaktadır.</w:t>
      </w:r>
      <w:r>
        <w:rPr>
          <w:rFonts w:ascii="Times New Roman" w:eastAsia="TimesNewRomanPSMT" w:hAnsi="Times New Roman" w:cs="Times New Roman"/>
          <w:sz w:val="20"/>
          <w:szCs w:val="20"/>
        </w:rPr>
        <w:t xml:space="preserve"> </w:t>
      </w:r>
      <w:r w:rsidRPr="00CB6C82">
        <w:rPr>
          <w:rFonts w:ascii="Times New Roman" w:eastAsia="TimesNewRomanPSMT" w:hAnsi="Times New Roman" w:cs="Times New Roman"/>
          <w:sz w:val="20"/>
          <w:szCs w:val="20"/>
        </w:rPr>
        <w:t>Dolayısıyla en fazla riskin karayolu taşımacılığında olduğu görülmektedir. Çalışmada ortaya konan TEHMAT risk</w:t>
      </w:r>
      <w:r>
        <w:rPr>
          <w:rFonts w:ascii="Times New Roman" w:eastAsia="TimesNewRomanPSMT" w:hAnsi="Times New Roman" w:cs="Times New Roman"/>
          <w:sz w:val="20"/>
          <w:szCs w:val="20"/>
        </w:rPr>
        <w:t xml:space="preserve"> </w:t>
      </w:r>
      <w:r w:rsidRPr="00CB6C82">
        <w:rPr>
          <w:rFonts w:ascii="Times New Roman" w:eastAsia="TimesNewRomanPSMT" w:hAnsi="Times New Roman" w:cs="Times New Roman"/>
          <w:sz w:val="20"/>
          <w:szCs w:val="20"/>
        </w:rPr>
        <w:t>değerlendirme indeksinde üç aşamalı bir süreç izlenmiştir. Birinci aşamada, risk değerlendirmeye etki eden faktörlerin</w:t>
      </w:r>
      <w:r>
        <w:rPr>
          <w:rFonts w:ascii="Times New Roman" w:eastAsia="TimesNewRomanPSMT" w:hAnsi="Times New Roman" w:cs="Times New Roman"/>
          <w:sz w:val="20"/>
          <w:szCs w:val="20"/>
        </w:rPr>
        <w:t xml:space="preserve"> </w:t>
      </w:r>
      <w:r w:rsidRPr="00CB6C82">
        <w:rPr>
          <w:rFonts w:ascii="Times New Roman" w:eastAsia="TimesNewRomanPSMT" w:hAnsi="Times New Roman" w:cs="Times New Roman"/>
          <w:sz w:val="20"/>
          <w:szCs w:val="20"/>
        </w:rPr>
        <w:t>belirlenmesi için yedi organizasyondan 13 uzmanın görüşleri alınmıştır. İkinci aşamada, bu faktörler kategorize edilerek</w:t>
      </w:r>
      <w:r>
        <w:rPr>
          <w:rFonts w:ascii="Times New Roman" w:eastAsia="TimesNewRomanPSMT" w:hAnsi="Times New Roman" w:cs="Times New Roman"/>
          <w:sz w:val="20"/>
          <w:szCs w:val="20"/>
        </w:rPr>
        <w:t xml:space="preserve"> </w:t>
      </w:r>
      <w:r w:rsidRPr="00CB6C82">
        <w:rPr>
          <w:rFonts w:ascii="Times New Roman" w:eastAsia="TimesNewRomanPSMT" w:hAnsi="Times New Roman" w:cs="Times New Roman"/>
          <w:sz w:val="20"/>
          <w:szCs w:val="20"/>
        </w:rPr>
        <w:t>hiyerarşik yapıya kavuşturulmuştur. Son aşamada ise AHP tekniği kullanılarak faktörlerin ağırlıkları hesaplanmıştır. Bu</w:t>
      </w:r>
      <w:r>
        <w:rPr>
          <w:rFonts w:ascii="Times New Roman" w:eastAsia="TimesNewRomanPSMT" w:hAnsi="Times New Roman" w:cs="Times New Roman"/>
          <w:sz w:val="20"/>
          <w:szCs w:val="20"/>
        </w:rPr>
        <w:t xml:space="preserve"> </w:t>
      </w:r>
      <w:r w:rsidRPr="00CB6C82">
        <w:rPr>
          <w:rFonts w:ascii="Times New Roman" w:eastAsia="TimesNewRomanPSMT" w:hAnsi="Times New Roman" w:cs="Times New Roman"/>
          <w:sz w:val="20"/>
          <w:szCs w:val="20"/>
        </w:rPr>
        <w:t>indeksin kullanımıyla TEHMAT risk değerlendirmesi yapılarak risk kategorisi belirlenebilmektedir.</w:t>
      </w:r>
      <w:r>
        <w:rPr>
          <w:rFonts w:ascii="Times New Roman" w:eastAsia="TimesNewRomanPSMT" w:hAnsi="Times New Roman" w:cs="Times New Roman"/>
          <w:sz w:val="20"/>
          <w:szCs w:val="20"/>
        </w:rPr>
        <w:t xml:space="preserve"> </w:t>
      </w:r>
      <w:r w:rsidRPr="00CB6C82">
        <w:rPr>
          <w:rFonts w:ascii="Times New Roman" w:eastAsia="TimesNewRomanPSMT" w:hAnsi="Times New Roman" w:cs="Times New Roman"/>
          <w:sz w:val="20"/>
          <w:szCs w:val="20"/>
        </w:rPr>
        <w:t xml:space="preserve">Gelecek çalışmalarda TEHMAT risk değerlendirme indeksi için belirlenen faktörlerin önem derecelerinin </w:t>
      </w:r>
      <w:proofErr w:type="spellStart"/>
      <w:r w:rsidRPr="00CB6C82">
        <w:rPr>
          <w:rFonts w:ascii="Times New Roman" w:eastAsia="TimesNewRomanPSMT" w:hAnsi="Times New Roman" w:cs="Times New Roman"/>
          <w:sz w:val="20"/>
          <w:szCs w:val="20"/>
        </w:rPr>
        <w:t>belirlenmesi</w:t>
      </w:r>
      <w:r>
        <w:rPr>
          <w:rFonts w:ascii="Times New Roman" w:eastAsia="TimesNewRomanPSMT" w:hAnsi="Times New Roman" w:cs="Times New Roman"/>
          <w:sz w:val="20"/>
          <w:szCs w:val="20"/>
        </w:rPr>
        <w:t>m</w:t>
      </w:r>
      <w:proofErr w:type="spellEnd"/>
      <w:r>
        <w:rPr>
          <w:rFonts w:ascii="Times New Roman" w:eastAsia="TimesNewRomanPSMT" w:hAnsi="Times New Roman" w:cs="Times New Roman"/>
          <w:sz w:val="20"/>
          <w:szCs w:val="20"/>
        </w:rPr>
        <w:t xml:space="preserve"> </w:t>
      </w:r>
      <w:r w:rsidRPr="00CB6C82">
        <w:rPr>
          <w:rFonts w:ascii="Times New Roman" w:eastAsia="TimesNewRomanPSMT" w:hAnsi="Times New Roman" w:cs="Times New Roman"/>
          <w:sz w:val="20"/>
          <w:szCs w:val="20"/>
        </w:rPr>
        <w:t>için diğer “Çok Kriterli Karar Verme” tekniklerinden yararlanılabilir. İndekse göre değerlendirmede ise değerlendiricilere</w:t>
      </w:r>
    </w:p>
    <w:p w:rsidR="00CB6C82" w:rsidRPr="00CB6C82" w:rsidRDefault="00CB6C82" w:rsidP="00CB6C82">
      <w:pPr>
        <w:autoSpaceDE w:val="0"/>
        <w:autoSpaceDN w:val="0"/>
        <w:adjustRightInd w:val="0"/>
        <w:spacing w:after="0" w:line="240" w:lineRule="auto"/>
        <w:rPr>
          <w:rFonts w:ascii="Times New Roman" w:eastAsia="TimesNewRomanPSMT" w:hAnsi="Times New Roman" w:cs="Times New Roman"/>
          <w:sz w:val="20"/>
          <w:szCs w:val="20"/>
        </w:rPr>
      </w:pPr>
      <w:proofErr w:type="gramStart"/>
      <w:r w:rsidRPr="00CB6C82">
        <w:rPr>
          <w:rFonts w:ascii="Times New Roman" w:eastAsia="TimesNewRomanPSMT" w:hAnsi="Times New Roman" w:cs="Times New Roman"/>
          <w:sz w:val="20"/>
          <w:szCs w:val="20"/>
        </w:rPr>
        <w:t>dilsel</w:t>
      </w:r>
      <w:proofErr w:type="gramEnd"/>
      <w:r w:rsidRPr="00CB6C82">
        <w:rPr>
          <w:rFonts w:ascii="Times New Roman" w:eastAsia="TimesNewRomanPSMT" w:hAnsi="Times New Roman" w:cs="Times New Roman"/>
          <w:sz w:val="20"/>
          <w:szCs w:val="20"/>
        </w:rPr>
        <w:t xml:space="preserve"> ifadeleri kullanma imkanı sağlayan bir yapı oluşturulabilir. Risk değerlendirme ve risk durumunun belirlenmesinde</w:t>
      </w:r>
      <w:r>
        <w:rPr>
          <w:rFonts w:ascii="Times New Roman" w:eastAsia="TimesNewRomanPSMT" w:hAnsi="Times New Roman" w:cs="Times New Roman"/>
          <w:sz w:val="20"/>
          <w:szCs w:val="20"/>
        </w:rPr>
        <w:t xml:space="preserve"> </w:t>
      </w:r>
      <w:r w:rsidRPr="00CB6C82">
        <w:rPr>
          <w:rFonts w:ascii="Times New Roman" w:eastAsia="TimesNewRomanPSMT" w:hAnsi="Times New Roman" w:cs="Times New Roman"/>
          <w:sz w:val="20"/>
          <w:szCs w:val="20"/>
        </w:rPr>
        <w:t>karşılaşılan belirsizlikler nedeniyle bulanık küme teorisi kullanılabilir.</w:t>
      </w:r>
    </w:p>
    <w:p w:rsidR="00C31A02" w:rsidRPr="00C31A02" w:rsidRDefault="00C31A02" w:rsidP="00E2341D">
      <w:pPr>
        <w:autoSpaceDE w:val="0"/>
        <w:autoSpaceDN w:val="0"/>
        <w:adjustRightInd w:val="0"/>
        <w:spacing w:after="0" w:line="240" w:lineRule="auto"/>
        <w:rPr>
          <w:rFonts w:ascii="Times New Roman" w:hAnsi="Times New Roman" w:cs="Times New Roman"/>
          <w:b/>
          <w:sz w:val="24"/>
          <w:szCs w:val="24"/>
        </w:rPr>
      </w:pPr>
      <w:r w:rsidRPr="00C31A02">
        <w:rPr>
          <w:rFonts w:ascii="Times New Roman" w:hAnsi="Times New Roman" w:cs="Times New Roman"/>
          <w:sz w:val="24"/>
          <w:szCs w:val="24"/>
        </w:rPr>
        <w:t xml:space="preserve"> </w:t>
      </w:r>
      <w:r w:rsidRPr="00C31A02">
        <w:rPr>
          <w:rFonts w:ascii="Times New Roman" w:hAnsi="Times New Roman" w:cs="Times New Roman"/>
          <w:b/>
          <w:sz w:val="24"/>
          <w:szCs w:val="24"/>
        </w:rPr>
        <w:t xml:space="preserve">Türkiye‘de Mevcut Yasal Düzenlemeler Ve Standartlar </w:t>
      </w:r>
    </w:p>
    <w:p w:rsidR="00C31A02" w:rsidRPr="00C31A02" w:rsidRDefault="00C31A02" w:rsidP="00E2341D">
      <w:pPr>
        <w:autoSpaceDE w:val="0"/>
        <w:autoSpaceDN w:val="0"/>
        <w:adjustRightInd w:val="0"/>
        <w:spacing w:after="0" w:line="240" w:lineRule="auto"/>
        <w:rPr>
          <w:rFonts w:ascii="Times New Roman" w:hAnsi="Times New Roman" w:cs="Times New Roman"/>
        </w:rPr>
      </w:pPr>
    </w:p>
    <w:p w:rsidR="00C31A02" w:rsidRPr="00C31A02" w:rsidRDefault="00C31A02" w:rsidP="00E2341D">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t xml:space="preserve">1-Tehlikeli Maddelerin Su ve Çevresinde Neden Olduğu Kirliliğin Kontrolü Yönetmeliği; Hayati bir fonksiyonu olan su ve kaynakları her türlü kirlenmeden korunması gerekmektedir. Yükleme ve boşaltma esnasında suya zararlı maddelerde aşağıdaki hususlara dikkat edilmelidir:  </w:t>
      </w:r>
    </w:p>
    <w:p w:rsidR="00C31A02" w:rsidRPr="00C31A02" w:rsidRDefault="00C31A02" w:rsidP="00E2341D">
      <w:pPr>
        <w:autoSpaceDE w:val="0"/>
        <w:autoSpaceDN w:val="0"/>
        <w:adjustRightInd w:val="0"/>
        <w:spacing w:after="0" w:line="240" w:lineRule="auto"/>
        <w:rPr>
          <w:rFonts w:ascii="Times New Roman" w:hAnsi="Times New Roman" w:cs="Times New Roman"/>
        </w:rPr>
      </w:pPr>
    </w:p>
    <w:p w:rsidR="00C31A02" w:rsidRPr="00C31A02" w:rsidRDefault="00C31A02" w:rsidP="00E2341D">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sym w:font="Symbol" w:char="F0B7"/>
      </w:r>
      <w:r w:rsidRPr="00C31A02">
        <w:rPr>
          <w:rFonts w:ascii="Times New Roman" w:hAnsi="Times New Roman" w:cs="Times New Roman"/>
        </w:rPr>
        <w:t xml:space="preserve">  Uygun koruma önlemleri alınmalıdır (örn. aşırı dolumun önlenmesi)</w:t>
      </w:r>
    </w:p>
    <w:p w:rsidR="00C31A02" w:rsidRPr="00C31A02" w:rsidRDefault="00C31A02" w:rsidP="00E2341D">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sym w:font="Symbol" w:char="F0B7"/>
      </w:r>
      <w:r w:rsidRPr="00C31A02">
        <w:rPr>
          <w:rFonts w:ascii="Times New Roman" w:hAnsi="Times New Roman" w:cs="Times New Roman"/>
        </w:rPr>
        <w:t xml:space="preserve">  Dolum seviyesi, basınç gibi unsurlar gözetilmelidir.</w:t>
      </w:r>
    </w:p>
    <w:p w:rsidR="00C31A02" w:rsidRPr="00C31A02" w:rsidRDefault="00C31A02" w:rsidP="00C31A0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sym w:font="Symbol" w:char="F0B7"/>
      </w:r>
      <w:r w:rsidRPr="00C31A02">
        <w:rPr>
          <w:rFonts w:ascii="Times New Roman" w:hAnsi="Times New Roman" w:cs="Times New Roman"/>
        </w:rPr>
        <w:t xml:space="preserve"> Yükleme ve boşaltma işlemi takip edilmelidir.</w:t>
      </w:r>
    </w:p>
    <w:p w:rsidR="00C31A02" w:rsidRPr="00C31A02" w:rsidRDefault="00C31A02" w:rsidP="00CB6C82">
      <w:pPr>
        <w:autoSpaceDE w:val="0"/>
        <w:autoSpaceDN w:val="0"/>
        <w:adjustRightInd w:val="0"/>
        <w:spacing w:after="0" w:line="240" w:lineRule="auto"/>
        <w:rPr>
          <w:rFonts w:ascii="Times New Roman" w:hAnsi="Times New Roman" w:cs="Times New Roman"/>
        </w:rPr>
      </w:pP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t>2- Radyoaktif Maddelerin Güvenli Taşınması Yönetmeliği;</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t xml:space="preserve">Radyoaktif maddenin kara, demir, hava ve denizyoluyla taşınması sırasında amaç, toplum bireylerinin, radyasyon görevlilerinin radyasyondan korunmasını ve çevrenin radyasyon güvenliğini sağlamaktır. Tasarım, ve imalat aşamaları da </w:t>
      </w:r>
      <w:proofErr w:type="gramStart"/>
      <w:r w:rsidRPr="00C31A02">
        <w:rPr>
          <w:rFonts w:ascii="Times New Roman" w:hAnsi="Times New Roman" w:cs="Times New Roman"/>
        </w:rPr>
        <w:t>dahil</w:t>
      </w:r>
      <w:proofErr w:type="gramEnd"/>
      <w:r w:rsidRPr="00C31A02">
        <w:rPr>
          <w:rFonts w:ascii="Times New Roman" w:hAnsi="Times New Roman" w:cs="Times New Roman"/>
        </w:rPr>
        <w:t xml:space="preserve"> olmak üzere yüklenmesi, taşınması, indirilmesi, geçici olarak depolanması ve alıcıya teslim edilmesi aşamalarını kapsar.</w:t>
      </w:r>
    </w:p>
    <w:p w:rsidR="00C31A02" w:rsidRPr="00C31A02" w:rsidRDefault="00C31A02" w:rsidP="00CB6C82">
      <w:pPr>
        <w:autoSpaceDE w:val="0"/>
        <w:autoSpaceDN w:val="0"/>
        <w:adjustRightInd w:val="0"/>
        <w:spacing w:after="0" w:line="240" w:lineRule="auto"/>
        <w:rPr>
          <w:rFonts w:ascii="Times New Roman" w:hAnsi="Times New Roman" w:cs="Times New Roman"/>
        </w:rPr>
      </w:pP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t xml:space="preserve"> 3- Tıbbi Atıkların Kontrolü Yönetmeliği (Taslak);</w:t>
      </w:r>
    </w:p>
    <w:p w:rsidR="00C31A02" w:rsidRPr="00C31A02" w:rsidRDefault="00C31A02" w:rsidP="00CB6C82">
      <w:pPr>
        <w:autoSpaceDE w:val="0"/>
        <w:autoSpaceDN w:val="0"/>
        <w:adjustRightInd w:val="0"/>
        <w:spacing w:after="0" w:line="240" w:lineRule="auto"/>
        <w:rPr>
          <w:rFonts w:ascii="Times New Roman" w:eastAsia="TimesNewRomanPS-BoldMT" w:hAnsi="Times New Roman" w:cs="Times New Roman"/>
          <w:b/>
          <w:bCs/>
          <w:sz w:val="24"/>
          <w:szCs w:val="24"/>
        </w:rPr>
      </w:pPr>
      <w:r w:rsidRPr="00C31A02">
        <w:rPr>
          <w:rFonts w:ascii="Times New Roman" w:hAnsi="Times New Roman" w:cs="Times New Roman"/>
        </w:rPr>
        <w:t xml:space="preserve"> Çevreye ve insan sağlığına zarar vermeden kaynağında ayrı olarak toplanması, ünite içinde taşınması, geçici depolanması, taşınması ve bertaraf edilmesi amaçlanmaktadır.</w:t>
      </w:r>
    </w:p>
    <w:p w:rsidR="00C31A02" w:rsidRPr="00C31A02" w:rsidRDefault="00C31A02" w:rsidP="00CB6C82">
      <w:pPr>
        <w:autoSpaceDE w:val="0"/>
        <w:autoSpaceDN w:val="0"/>
        <w:adjustRightInd w:val="0"/>
        <w:spacing w:after="0" w:line="240" w:lineRule="auto"/>
        <w:rPr>
          <w:rFonts w:ascii="Times New Roman" w:eastAsia="TimesNewRomanPS-BoldMT" w:hAnsi="Times New Roman" w:cs="Times New Roman"/>
          <w:b/>
          <w:bCs/>
          <w:sz w:val="24"/>
          <w:szCs w:val="24"/>
        </w:rPr>
      </w:pP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t>4- Karayolunda Tehlikeli Maddelerin Taşınması İçin Tasarlanan Motorlu Araçlar ve Römorkları ile İlgili Tip Onayı Yönetmeliği;</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t xml:space="preserve">Bu yönetmeliğin amacı, 2918 sayılı Karayolları Trafik Kanunu hükümleri uyarınca, araçların yapım ve kullanım bakımından karayolu yapısına ve trafik güvenliğine uyma zorunluluğunu yerine getirmek üzere; karayolunda tehlikeli maddelerin taşınması </w:t>
      </w:r>
      <w:proofErr w:type="gramStart"/>
      <w:r w:rsidRPr="00C31A02">
        <w:rPr>
          <w:rFonts w:ascii="Times New Roman" w:hAnsi="Times New Roman" w:cs="Times New Roman"/>
        </w:rPr>
        <w:t>için  tasarlanan</w:t>
      </w:r>
      <w:proofErr w:type="gramEnd"/>
      <w:r w:rsidRPr="00C31A02">
        <w:rPr>
          <w:rFonts w:ascii="Times New Roman" w:hAnsi="Times New Roman" w:cs="Times New Roman"/>
        </w:rPr>
        <w:t xml:space="preserve"> araçlara AT Araç tip Onayı Belgesi verilmesine ilişkin hükümleri ve bunların uygulanmasına ait usul ve esasları belirlemektir. (isteğe bağlı) </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t xml:space="preserve">5- Sıvılaştırılmış Petrol Gazları (LPG)- Taşıma Kuralları ( TS 1445) </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t xml:space="preserve">6- Sıvılaştırılmış Petrol Gazları (LPG)- Doldurma ve Boşaltma Kuralları (TS 1449) </w:t>
      </w:r>
    </w:p>
    <w:p w:rsid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t>7- Tehlikeli Kimyasallar Yönetmeliği;</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t xml:space="preserve"> Bu Yönetmeliğin amacı, tehlikeli kimyasalların kontrol altına alınarak olumsuz etkilerinden çevre ve insanın korunmasına yönelik idari ve teknik usul ve esasları düzenlemektir: </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t>Tehlikeli kimyasalların tespiti, sınıflandırılması, etiketlenmesi ve ambalajlanmasına</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sym w:font="Symbol" w:char="F0B7"/>
      </w:r>
      <w:r w:rsidRPr="00C31A02">
        <w:rPr>
          <w:rFonts w:ascii="Times New Roman" w:hAnsi="Times New Roman" w:cs="Times New Roman"/>
        </w:rPr>
        <w:t xml:space="preserve"> </w:t>
      </w:r>
      <w:proofErr w:type="gramStart"/>
      <w:r w:rsidRPr="00C31A02">
        <w:rPr>
          <w:rFonts w:ascii="Times New Roman" w:hAnsi="Times New Roman" w:cs="Times New Roman"/>
        </w:rPr>
        <w:t>ilişkin</w:t>
      </w:r>
      <w:proofErr w:type="gramEnd"/>
      <w:r w:rsidRPr="00C31A02">
        <w:rPr>
          <w:rFonts w:ascii="Times New Roman" w:hAnsi="Times New Roman" w:cs="Times New Roman"/>
        </w:rPr>
        <w:t xml:space="preserve"> usul ve esasları,  Tehlikeli kimyasalların üretimi, depolanması, aşınması faaliyetlerine ilişkin esasları,</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sym w:font="Symbol" w:char="F0B7"/>
      </w:r>
      <w:r w:rsidRPr="00C31A02">
        <w:rPr>
          <w:rFonts w:ascii="Times New Roman" w:hAnsi="Times New Roman" w:cs="Times New Roman"/>
        </w:rPr>
        <w:t xml:space="preserve">  Tehlikeli kimyasallar ve tehlikeli eşyanın kullanımı ve piyasaya arzına ilişkin esasları,</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sym w:font="Symbol" w:char="F0B7"/>
      </w:r>
      <w:r w:rsidRPr="00C31A02">
        <w:rPr>
          <w:rFonts w:ascii="Times New Roman" w:hAnsi="Times New Roman" w:cs="Times New Roman"/>
        </w:rPr>
        <w:t xml:space="preserve">  Kimyasalların ithalat ve ihracatına ilişkin usul ve esasları,</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sym w:font="Symbol" w:char="F0B7"/>
      </w:r>
      <w:r w:rsidRPr="00C31A02">
        <w:rPr>
          <w:rFonts w:ascii="Times New Roman" w:hAnsi="Times New Roman" w:cs="Times New Roman"/>
        </w:rPr>
        <w:t xml:space="preserve">  Tehlikeli kimyasallar ve tehlikeli eşya ile iştigal olunmasına ilişkin hükümleri,</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sym w:font="Symbol" w:char="F0B7"/>
      </w:r>
      <w:r w:rsidRPr="00C31A02">
        <w:rPr>
          <w:rFonts w:ascii="Times New Roman" w:hAnsi="Times New Roman" w:cs="Times New Roman"/>
        </w:rPr>
        <w:t xml:space="preserve">  Kimyasallar ile tehlikeli eşyanın piyasa gözetimi ve denetimine ilişkin hükümleri,</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sym w:font="Symbol" w:char="F0B7"/>
      </w:r>
      <w:r w:rsidRPr="00C31A02">
        <w:rPr>
          <w:rFonts w:ascii="Times New Roman" w:hAnsi="Times New Roman" w:cs="Times New Roman"/>
        </w:rPr>
        <w:t xml:space="preserve">  Güvenlik Bilgi Formlarının hazırlanmasına ve dağıtımına ilişkin usul ve esasları, kapsar.</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t xml:space="preserve">8- Tehlikeli Atıkların Kontrolü Yönetmeliği;  </w:t>
      </w:r>
    </w:p>
    <w:p w:rsidR="00C31A02" w:rsidRPr="00C31A02" w:rsidRDefault="00C31A02" w:rsidP="00C31A0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lastRenderedPageBreak/>
        <w:sym w:font="Symbol" w:char="F0B7"/>
      </w:r>
      <w:r w:rsidRPr="00C31A02">
        <w:rPr>
          <w:rFonts w:ascii="Times New Roman" w:hAnsi="Times New Roman" w:cs="Times New Roman"/>
        </w:rPr>
        <w:t xml:space="preserve"> İnsan sağlığına ve çevreye zarar verecek şekilde doğrudan veya dolaylı biçimde alıcı</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t xml:space="preserve"> </w:t>
      </w:r>
      <w:proofErr w:type="gramStart"/>
      <w:r w:rsidRPr="00C31A02">
        <w:rPr>
          <w:rFonts w:ascii="Times New Roman" w:hAnsi="Times New Roman" w:cs="Times New Roman"/>
        </w:rPr>
        <w:t>ortama</w:t>
      </w:r>
      <w:proofErr w:type="gramEnd"/>
      <w:r w:rsidRPr="00C31A02">
        <w:rPr>
          <w:rFonts w:ascii="Times New Roman" w:hAnsi="Times New Roman" w:cs="Times New Roman"/>
        </w:rPr>
        <w:t xml:space="preserve"> verilmesinin önlenmesine,  Üretiminin ve taşınmasının kontrolünün sağlanmasına,</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sym w:font="Symbol" w:char="F0B7"/>
      </w:r>
      <w:r w:rsidRPr="00C31A02">
        <w:rPr>
          <w:rFonts w:ascii="Times New Roman" w:hAnsi="Times New Roman" w:cs="Times New Roman"/>
        </w:rPr>
        <w:t xml:space="preserve">  İthalinin yasaklanmasına ve ihracatının kontrolüne,</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sym w:font="Symbol" w:char="F0B7"/>
      </w:r>
      <w:r w:rsidRPr="00C31A02">
        <w:rPr>
          <w:rFonts w:ascii="Times New Roman" w:hAnsi="Times New Roman" w:cs="Times New Roman"/>
        </w:rPr>
        <w:t xml:space="preserve">  Yönetiminde gerekli teknik ve idari standartların sağlanmasına,</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sym w:font="Symbol" w:char="F0B7"/>
      </w:r>
      <w:r w:rsidRPr="00C31A02">
        <w:rPr>
          <w:rFonts w:ascii="Times New Roman" w:hAnsi="Times New Roman" w:cs="Times New Roman"/>
        </w:rPr>
        <w:t xml:space="preserve">  Üretiminin kaynağında en aza indirilmesine,</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sym w:font="Symbol" w:char="F0B7"/>
      </w:r>
      <w:r w:rsidRPr="00C31A02">
        <w:rPr>
          <w:rFonts w:ascii="Times New Roman" w:hAnsi="Times New Roman" w:cs="Times New Roman"/>
        </w:rPr>
        <w:t xml:space="preserve">  Üretiminin kaçınılmaz olduğu durumlarda, üretildiği yere en yakın mesafede bertaraf edilmesine,</w:t>
      </w:r>
    </w:p>
    <w:p w:rsidR="00C31A02" w:rsidRPr="00C31A02" w:rsidRDefault="00C31A02" w:rsidP="00CB6C82">
      <w:pPr>
        <w:autoSpaceDE w:val="0"/>
        <w:autoSpaceDN w:val="0"/>
        <w:adjustRightInd w:val="0"/>
        <w:spacing w:after="0" w:line="240" w:lineRule="auto"/>
        <w:rPr>
          <w:rFonts w:ascii="Times New Roman" w:hAnsi="Times New Roman" w:cs="Times New Roman"/>
        </w:rPr>
      </w:pPr>
      <w:r w:rsidRPr="00C31A02">
        <w:rPr>
          <w:rFonts w:ascii="Times New Roman" w:hAnsi="Times New Roman" w:cs="Times New Roman"/>
        </w:rPr>
        <w:t xml:space="preserve">  Yeterli bertaraf tesisi kurulması ve bu tesislerin çevresel bakımdan sağlıklı bir şekilde kontrolüne,  Çevreyle uyumlu yönetiminin sağlanmasına yönelik prensip, politika ve programların belirlenmesi için hukuki ve teknik esasları kapsar.</w:t>
      </w:r>
    </w:p>
    <w:p w:rsidR="00C31A02" w:rsidRDefault="00C31A02" w:rsidP="00CB6C82">
      <w:pPr>
        <w:autoSpaceDE w:val="0"/>
        <w:autoSpaceDN w:val="0"/>
        <w:adjustRightInd w:val="0"/>
        <w:spacing w:after="0" w:line="240" w:lineRule="auto"/>
        <w:rPr>
          <w:rFonts w:ascii="Times New Roman" w:hAnsi="Times New Roman" w:cs="Times New Roman"/>
        </w:rPr>
      </w:pPr>
    </w:p>
    <w:p w:rsidR="00C31A02" w:rsidRDefault="00C31A02" w:rsidP="00CB6C82">
      <w:pPr>
        <w:autoSpaceDE w:val="0"/>
        <w:autoSpaceDN w:val="0"/>
        <w:adjustRightInd w:val="0"/>
        <w:spacing w:after="0" w:line="240" w:lineRule="auto"/>
        <w:rPr>
          <w:rFonts w:ascii="Times New Roman" w:hAnsi="Times New Roman" w:cs="Times New Roman"/>
        </w:rPr>
      </w:pPr>
    </w:p>
    <w:p w:rsidR="00C31A02" w:rsidRDefault="00C31A02" w:rsidP="00CB6C82">
      <w:pPr>
        <w:autoSpaceDE w:val="0"/>
        <w:autoSpaceDN w:val="0"/>
        <w:adjustRightInd w:val="0"/>
        <w:spacing w:after="0" w:line="240" w:lineRule="auto"/>
        <w:rPr>
          <w:rFonts w:ascii="Times New Roman" w:hAnsi="Times New Roman" w:cs="Times New Roman"/>
        </w:rPr>
      </w:pPr>
    </w:p>
    <w:p w:rsidR="00C31A02" w:rsidRPr="00C31A02" w:rsidRDefault="00C31A02" w:rsidP="00CB6C82">
      <w:pPr>
        <w:autoSpaceDE w:val="0"/>
        <w:autoSpaceDN w:val="0"/>
        <w:adjustRightInd w:val="0"/>
        <w:spacing w:after="0" w:line="240" w:lineRule="auto"/>
        <w:rPr>
          <w:rFonts w:ascii="Times New Roman" w:eastAsia="TimesNewRomanPS-BoldMT" w:hAnsi="Times New Roman" w:cs="Times New Roman"/>
          <w:b/>
          <w:bCs/>
          <w:sz w:val="24"/>
          <w:szCs w:val="24"/>
        </w:rPr>
      </w:pPr>
      <w:r w:rsidRPr="00C31A02">
        <w:rPr>
          <w:rFonts w:ascii="Times New Roman" w:hAnsi="Times New Roman" w:cs="Times New Roman"/>
        </w:rPr>
        <w:t>9- Tehlikeli Maddelerin Karayoluyla Taşınması Hakkında Yönetmelik; Bu Yönetmeliğin amacı, tehlikeli maddelerin; insan sağlığı ve diğer canlı varlıklar ile çevreye zarar vermeden güvenli ve düzenli bir şekilde kamuya açık karayoluyla taşınmasını sağlamaktır. Bu faaliyetlerde yer alan gönderenlerin, alıcıların, dolduranların, yükleyenlerin, boşaltanların, ambalajlayanların, taşımacıların ve tehlikeli maddeleri taşıyan her türlü aracın operatör veya sürücülerinin sorumluluk, yükümlülük ve çalışma koşullarını belirlemektir. (31.03.2007/ Yürürlüğe giriş tarihi 01.01.2009)</w:t>
      </w:r>
    </w:p>
    <w:p w:rsidR="00C31A02" w:rsidRDefault="00C31A02" w:rsidP="00CB6C82">
      <w:pPr>
        <w:autoSpaceDE w:val="0"/>
        <w:autoSpaceDN w:val="0"/>
        <w:adjustRightInd w:val="0"/>
        <w:spacing w:after="0" w:line="240" w:lineRule="auto"/>
        <w:rPr>
          <w:rFonts w:ascii="Times New Roman" w:eastAsia="TimesNewRomanPS-BoldMT" w:hAnsi="Times New Roman" w:cs="Times New Roman"/>
          <w:b/>
          <w:bCs/>
          <w:sz w:val="24"/>
          <w:szCs w:val="24"/>
        </w:rPr>
      </w:pPr>
    </w:p>
    <w:p w:rsidR="00DF220A" w:rsidRDefault="00DF220A" w:rsidP="00CB6C82">
      <w:pPr>
        <w:autoSpaceDE w:val="0"/>
        <w:autoSpaceDN w:val="0"/>
        <w:adjustRightInd w:val="0"/>
        <w:spacing w:after="0" w:line="240" w:lineRule="auto"/>
        <w:rPr>
          <w:rFonts w:ascii="Times New Roman" w:hAnsi="Times New Roman" w:cs="Times New Roman"/>
          <w:b/>
          <w:sz w:val="24"/>
          <w:szCs w:val="24"/>
        </w:rPr>
      </w:pPr>
      <w:r w:rsidRPr="00DF220A">
        <w:rPr>
          <w:rFonts w:ascii="Times New Roman" w:hAnsi="Times New Roman" w:cs="Times New Roman"/>
          <w:b/>
          <w:sz w:val="24"/>
          <w:szCs w:val="24"/>
        </w:rPr>
        <w:t>Tehlike Sembolleri, Tehlikenin Anlamı ve Korunma</w:t>
      </w:r>
    </w:p>
    <w:p w:rsidR="00DF220A" w:rsidRPr="00DF220A" w:rsidRDefault="00DF220A" w:rsidP="00CB6C82">
      <w:pPr>
        <w:autoSpaceDE w:val="0"/>
        <w:autoSpaceDN w:val="0"/>
        <w:adjustRightInd w:val="0"/>
        <w:spacing w:after="0" w:line="240" w:lineRule="auto"/>
        <w:rPr>
          <w:rFonts w:ascii="Times New Roman" w:eastAsia="TimesNewRomanPS-BoldMT" w:hAnsi="Times New Roman" w:cs="Times New Roman"/>
          <w:b/>
          <w:bCs/>
          <w:sz w:val="24"/>
          <w:szCs w:val="24"/>
        </w:rPr>
      </w:pPr>
    </w:p>
    <w:p w:rsidR="00C31A02" w:rsidRDefault="00DF220A" w:rsidP="00CB6C82">
      <w:pPr>
        <w:autoSpaceDE w:val="0"/>
        <w:autoSpaceDN w:val="0"/>
        <w:adjustRightInd w:val="0"/>
        <w:spacing w:after="0" w:line="240" w:lineRule="auto"/>
        <w:rPr>
          <w:rFonts w:ascii="Times New Roman" w:eastAsia="TimesNewRomanPS-BoldMT" w:hAnsi="Times New Roman" w:cs="Times New Roman"/>
          <w:b/>
          <w:bCs/>
          <w:sz w:val="24"/>
          <w:szCs w:val="24"/>
        </w:rPr>
      </w:pPr>
      <w:r>
        <w:rPr>
          <w:rFonts w:ascii="Times New Roman" w:eastAsia="TimesNewRomanPS-BoldMT" w:hAnsi="Times New Roman" w:cs="Times New Roman"/>
          <w:b/>
          <w:bCs/>
          <w:noProof/>
          <w:sz w:val="24"/>
          <w:szCs w:val="24"/>
        </w:rPr>
        <w:drawing>
          <wp:inline distT="0" distB="0" distL="0" distR="0">
            <wp:extent cx="4050851" cy="5053170"/>
            <wp:effectExtent l="19050" t="0" r="6799" b="0"/>
            <wp:docPr id="1" name="Resim 1" descr="C:\Users\DeSTeK\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TeK\Desktop\6.JPG"/>
                    <pic:cNvPicPr>
                      <a:picLocks noChangeAspect="1" noChangeArrowheads="1"/>
                    </pic:cNvPicPr>
                  </pic:nvPicPr>
                  <pic:blipFill>
                    <a:blip r:embed="rId9"/>
                    <a:srcRect/>
                    <a:stretch>
                      <a:fillRect/>
                    </a:stretch>
                  </pic:blipFill>
                  <pic:spPr bwMode="auto">
                    <a:xfrm>
                      <a:off x="0" y="0"/>
                      <a:ext cx="4052057" cy="5054675"/>
                    </a:xfrm>
                    <a:prstGeom prst="rect">
                      <a:avLst/>
                    </a:prstGeom>
                    <a:noFill/>
                    <a:ln w="9525">
                      <a:noFill/>
                      <a:miter lim="800000"/>
                      <a:headEnd/>
                      <a:tailEnd/>
                    </a:ln>
                  </pic:spPr>
                </pic:pic>
              </a:graphicData>
            </a:graphic>
          </wp:inline>
        </w:drawing>
      </w:r>
    </w:p>
    <w:p w:rsidR="00DF220A" w:rsidRDefault="00DF220A" w:rsidP="00CB6C82">
      <w:pPr>
        <w:autoSpaceDE w:val="0"/>
        <w:autoSpaceDN w:val="0"/>
        <w:adjustRightInd w:val="0"/>
        <w:spacing w:after="0" w:line="240" w:lineRule="auto"/>
        <w:rPr>
          <w:rFonts w:ascii="Times New Roman" w:eastAsia="TimesNewRomanPS-BoldMT" w:hAnsi="Times New Roman" w:cs="Times New Roman"/>
          <w:b/>
          <w:bCs/>
          <w:sz w:val="24"/>
          <w:szCs w:val="24"/>
        </w:rPr>
      </w:pPr>
    </w:p>
    <w:p w:rsidR="00DF220A" w:rsidRPr="00C31A02" w:rsidRDefault="00DF220A" w:rsidP="00CB6C82">
      <w:pPr>
        <w:autoSpaceDE w:val="0"/>
        <w:autoSpaceDN w:val="0"/>
        <w:adjustRightInd w:val="0"/>
        <w:spacing w:after="0" w:line="240" w:lineRule="auto"/>
        <w:rPr>
          <w:rFonts w:ascii="Times New Roman" w:eastAsia="TimesNewRomanPS-BoldMT" w:hAnsi="Times New Roman" w:cs="Times New Roman"/>
          <w:b/>
          <w:bCs/>
          <w:sz w:val="24"/>
          <w:szCs w:val="24"/>
        </w:rPr>
      </w:pPr>
      <w:r>
        <w:rPr>
          <w:rFonts w:ascii="Times New Roman" w:eastAsia="TimesNewRomanPS-BoldMT" w:hAnsi="Times New Roman" w:cs="Times New Roman"/>
          <w:b/>
          <w:bCs/>
          <w:noProof/>
          <w:sz w:val="24"/>
          <w:szCs w:val="24"/>
        </w:rPr>
        <w:lastRenderedPageBreak/>
        <w:drawing>
          <wp:inline distT="0" distB="0" distL="0" distR="0">
            <wp:extent cx="3725230" cy="4684144"/>
            <wp:effectExtent l="19050" t="0" r="8570" b="0"/>
            <wp:docPr id="3" name="Resim 2" descr="C:\Users\DeSTeK\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TeK\Desktop\7.JPG"/>
                    <pic:cNvPicPr>
                      <a:picLocks noChangeAspect="1" noChangeArrowheads="1"/>
                    </pic:cNvPicPr>
                  </pic:nvPicPr>
                  <pic:blipFill>
                    <a:blip r:embed="rId10"/>
                    <a:srcRect/>
                    <a:stretch>
                      <a:fillRect/>
                    </a:stretch>
                  </pic:blipFill>
                  <pic:spPr bwMode="auto">
                    <a:xfrm>
                      <a:off x="0" y="0"/>
                      <a:ext cx="3729692" cy="4689754"/>
                    </a:xfrm>
                    <a:prstGeom prst="rect">
                      <a:avLst/>
                    </a:prstGeom>
                    <a:noFill/>
                    <a:ln w="9525">
                      <a:noFill/>
                      <a:miter lim="800000"/>
                      <a:headEnd/>
                      <a:tailEnd/>
                    </a:ln>
                  </pic:spPr>
                </pic:pic>
              </a:graphicData>
            </a:graphic>
          </wp:inline>
        </w:drawing>
      </w:r>
    </w:p>
    <w:p w:rsidR="00C31A02" w:rsidRPr="00C31A02" w:rsidRDefault="00C31A02" w:rsidP="00CB6C82">
      <w:pPr>
        <w:autoSpaceDE w:val="0"/>
        <w:autoSpaceDN w:val="0"/>
        <w:adjustRightInd w:val="0"/>
        <w:spacing w:after="0" w:line="240" w:lineRule="auto"/>
        <w:rPr>
          <w:rFonts w:ascii="Times New Roman" w:eastAsia="TimesNewRomanPS-BoldMT" w:hAnsi="Times New Roman" w:cs="Times New Roman"/>
          <w:b/>
          <w:bCs/>
          <w:sz w:val="24"/>
          <w:szCs w:val="24"/>
        </w:rPr>
      </w:pPr>
    </w:p>
    <w:p w:rsidR="00DF220A" w:rsidRPr="00DF220A" w:rsidRDefault="00DF220A" w:rsidP="00CB6C82">
      <w:pPr>
        <w:autoSpaceDE w:val="0"/>
        <w:autoSpaceDN w:val="0"/>
        <w:adjustRightInd w:val="0"/>
        <w:spacing w:after="0" w:line="240" w:lineRule="auto"/>
        <w:rPr>
          <w:rFonts w:ascii="Times New Roman" w:hAnsi="Times New Roman" w:cs="Times New Roman"/>
          <w:b/>
          <w:sz w:val="24"/>
          <w:szCs w:val="24"/>
        </w:rPr>
      </w:pPr>
      <w:r w:rsidRPr="00DF220A">
        <w:rPr>
          <w:rFonts w:ascii="Times New Roman" w:hAnsi="Times New Roman" w:cs="Times New Roman"/>
          <w:b/>
          <w:sz w:val="24"/>
          <w:szCs w:val="24"/>
        </w:rPr>
        <w:t>Tehlikeli Maddelerin Sınıflandırılması</w:t>
      </w:r>
    </w:p>
    <w:p w:rsidR="00DF220A" w:rsidRDefault="00DF220A" w:rsidP="00CB6C82">
      <w:pPr>
        <w:autoSpaceDE w:val="0"/>
        <w:autoSpaceDN w:val="0"/>
        <w:adjustRightInd w:val="0"/>
        <w:spacing w:after="0" w:line="240" w:lineRule="auto"/>
        <w:rPr>
          <w:rFonts w:ascii="Times New Roman" w:eastAsia="TimesNewRomanPS-BoldMT" w:hAnsi="Times New Roman" w:cs="Times New Roman"/>
          <w:b/>
          <w:bCs/>
          <w:sz w:val="24"/>
          <w:szCs w:val="24"/>
        </w:rPr>
      </w:pPr>
      <w:r>
        <w:t xml:space="preserve"> Tehlikeli maddeler özelliklerine göre sınıflandırılmaktadır. Uluslararası genel kabul görmüş Tehlikeli Madde Taşıması Hakkında ADR Konvansiyonu ile ilgili sınıflandırma ise aşağıdaki gibidir:</w:t>
      </w:r>
    </w:p>
    <w:p w:rsidR="00C31A02" w:rsidRDefault="00C31A02" w:rsidP="00CB6C82">
      <w:pPr>
        <w:autoSpaceDE w:val="0"/>
        <w:autoSpaceDN w:val="0"/>
        <w:adjustRightInd w:val="0"/>
        <w:spacing w:after="0" w:line="240" w:lineRule="auto"/>
        <w:rPr>
          <w:rFonts w:ascii="Times New Roman" w:eastAsia="TimesNewRomanPS-BoldMT" w:hAnsi="Times New Roman" w:cs="Times New Roman"/>
          <w:b/>
          <w:bCs/>
          <w:sz w:val="24"/>
          <w:szCs w:val="24"/>
        </w:rPr>
      </w:pPr>
    </w:p>
    <w:p w:rsidR="00C31A02" w:rsidRDefault="00DF220A" w:rsidP="00CB6C82">
      <w:pPr>
        <w:autoSpaceDE w:val="0"/>
        <w:autoSpaceDN w:val="0"/>
        <w:adjustRightInd w:val="0"/>
        <w:spacing w:after="0" w:line="240" w:lineRule="auto"/>
        <w:rPr>
          <w:rFonts w:ascii="Times New Roman" w:eastAsia="TimesNewRomanPS-BoldMT" w:hAnsi="Times New Roman" w:cs="Times New Roman"/>
          <w:b/>
          <w:bCs/>
          <w:sz w:val="24"/>
          <w:szCs w:val="24"/>
        </w:rPr>
      </w:pPr>
      <w:r>
        <w:rPr>
          <w:rFonts w:ascii="Times New Roman" w:eastAsia="TimesNewRomanPS-BoldMT" w:hAnsi="Times New Roman" w:cs="Times New Roman"/>
          <w:b/>
          <w:bCs/>
          <w:noProof/>
          <w:sz w:val="24"/>
          <w:szCs w:val="24"/>
        </w:rPr>
        <w:drawing>
          <wp:inline distT="0" distB="0" distL="0" distR="0">
            <wp:extent cx="2681018" cy="3320130"/>
            <wp:effectExtent l="19050" t="0" r="5032" b="0"/>
            <wp:docPr id="4" name="Resim 3" descr="C:\Users\DeSTeK\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TeK\Desktop\8.JPG"/>
                    <pic:cNvPicPr>
                      <a:picLocks noChangeAspect="1" noChangeArrowheads="1"/>
                    </pic:cNvPicPr>
                  </pic:nvPicPr>
                  <pic:blipFill>
                    <a:blip r:embed="rId11"/>
                    <a:srcRect/>
                    <a:stretch>
                      <a:fillRect/>
                    </a:stretch>
                  </pic:blipFill>
                  <pic:spPr bwMode="auto">
                    <a:xfrm>
                      <a:off x="0" y="0"/>
                      <a:ext cx="2684548" cy="3324501"/>
                    </a:xfrm>
                    <a:prstGeom prst="rect">
                      <a:avLst/>
                    </a:prstGeom>
                    <a:noFill/>
                    <a:ln w="9525">
                      <a:noFill/>
                      <a:miter lim="800000"/>
                      <a:headEnd/>
                      <a:tailEnd/>
                    </a:ln>
                  </pic:spPr>
                </pic:pic>
              </a:graphicData>
            </a:graphic>
          </wp:inline>
        </w:drawing>
      </w:r>
      <w:r w:rsidRPr="00DF220A">
        <w:rPr>
          <w:rFonts w:ascii="Times New Roman" w:eastAsia="TimesNewRomanPS-BoldMT" w:hAnsi="Times New Roman" w:cs="Times New Roman"/>
          <w:b/>
          <w:bCs/>
          <w:noProof/>
          <w:sz w:val="24"/>
          <w:szCs w:val="24"/>
        </w:rPr>
        <w:t xml:space="preserve"> </w:t>
      </w:r>
      <w:r w:rsidRPr="00DF220A">
        <w:rPr>
          <w:rFonts w:ascii="Times New Roman" w:eastAsia="TimesNewRomanPS-BoldMT" w:hAnsi="Times New Roman" w:cs="Times New Roman"/>
          <w:b/>
          <w:bCs/>
          <w:sz w:val="24"/>
          <w:szCs w:val="24"/>
        </w:rPr>
        <w:drawing>
          <wp:inline distT="0" distB="0" distL="0" distR="0">
            <wp:extent cx="2335961" cy="3337436"/>
            <wp:effectExtent l="19050" t="0" r="7189" b="0"/>
            <wp:docPr id="7" name="Resim 4" descr="C:\Users\DeSTeK\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STeK\Desktop\9.JPG"/>
                    <pic:cNvPicPr>
                      <a:picLocks noChangeAspect="1" noChangeArrowheads="1"/>
                    </pic:cNvPicPr>
                  </pic:nvPicPr>
                  <pic:blipFill>
                    <a:blip r:embed="rId12"/>
                    <a:srcRect/>
                    <a:stretch>
                      <a:fillRect/>
                    </a:stretch>
                  </pic:blipFill>
                  <pic:spPr bwMode="auto">
                    <a:xfrm>
                      <a:off x="0" y="0"/>
                      <a:ext cx="2339624" cy="3342670"/>
                    </a:xfrm>
                    <a:prstGeom prst="rect">
                      <a:avLst/>
                    </a:prstGeom>
                    <a:noFill/>
                    <a:ln w="9525">
                      <a:noFill/>
                      <a:miter lim="800000"/>
                      <a:headEnd/>
                      <a:tailEnd/>
                    </a:ln>
                  </pic:spPr>
                </pic:pic>
              </a:graphicData>
            </a:graphic>
          </wp:inline>
        </w:drawing>
      </w:r>
    </w:p>
    <w:p w:rsidR="00DF220A" w:rsidRDefault="00DF220A" w:rsidP="00CB6C82">
      <w:pPr>
        <w:autoSpaceDE w:val="0"/>
        <w:autoSpaceDN w:val="0"/>
        <w:adjustRightInd w:val="0"/>
        <w:spacing w:after="0" w:line="240" w:lineRule="auto"/>
        <w:rPr>
          <w:rFonts w:ascii="Times New Roman" w:eastAsia="TimesNewRomanPS-BoldMT" w:hAnsi="Times New Roman" w:cs="Times New Roman"/>
          <w:b/>
          <w:bCs/>
          <w:sz w:val="24"/>
          <w:szCs w:val="24"/>
        </w:rPr>
      </w:pPr>
    </w:p>
    <w:p w:rsidR="00DF220A" w:rsidRDefault="00DF220A" w:rsidP="00CB6C82">
      <w:pPr>
        <w:autoSpaceDE w:val="0"/>
        <w:autoSpaceDN w:val="0"/>
        <w:adjustRightInd w:val="0"/>
        <w:spacing w:after="0" w:line="240" w:lineRule="auto"/>
        <w:rPr>
          <w:rFonts w:ascii="Times New Roman" w:eastAsia="TimesNewRomanPS-BoldMT" w:hAnsi="Times New Roman" w:cs="Times New Roman"/>
          <w:b/>
          <w:bCs/>
          <w:sz w:val="24"/>
          <w:szCs w:val="24"/>
        </w:rPr>
      </w:pPr>
    </w:p>
    <w:p w:rsidR="00CB6C82" w:rsidRPr="00C31A02" w:rsidRDefault="00CB6C82" w:rsidP="00CB6C82">
      <w:pPr>
        <w:autoSpaceDE w:val="0"/>
        <w:autoSpaceDN w:val="0"/>
        <w:adjustRightInd w:val="0"/>
        <w:spacing w:after="0" w:line="240" w:lineRule="auto"/>
        <w:rPr>
          <w:rFonts w:ascii="Times New Roman" w:eastAsia="TimesNewRomanPS-BoldMT" w:hAnsi="Times New Roman" w:cs="Times New Roman"/>
          <w:b/>
          <w:bCs/>
          <w:sz w:val="24"/>
          <w:szCs w:val="24"/>
        </w:rPr>
      </w:pPr>
      <w:r w:rsidRPr="00C31A02">
        <w:rPr>
          <w:rFonts w:ascii="Times New Roman" w:eastAsia="TimesNewRomanPS-BoldMT" w:hAnsi="Times New Roman" w:cs="Times New Roman"/>
          <w:b/>
          <w:bCs/>
          <w:sz w:val="24"/>
          <w:szCs w:val="24"/>
        </w:rPr>
        <w:t>KAYNAKLAR</w:t>
      </w:r>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proofErr w:type="spellStart"/>
      <w:r w:rsidRPr="00C31A02">
        <w:rPr>
          <w:rFonts w:ascii="Times New Roman" w:eastAsia="TimesNewRomanPSMT" w:hAnsi="Times New Roman" w:cs="Times New Roman"/>
          <w:sz w:val="18"/>
          <w:szCs w:val="18"/>
        </w:rPr>
        <w:t>Albayrak</w:t>
      </w:r>
      <w:proofErr w:type="spellEnd"/>
      <w:r w:rsidRPr="00C31A02">
        <w:rPr>
          <w:rFonts w:ascii="Times New Roman" w:eastAsia="TimesNewRomanPSMT" w:hAnsi="Times New Roman" w:cs="Times New Roman"/>
          <w:sz w:val="18"/>
          <w:szCs w:val="18"/>
        </w:rPr>
        <w:t xml:space="preserve">, E. ve </w:t>
      </w:r>
      <w:proofErr w:type="spellStart"/>
      <w:r w:rsidRPr="00C31A02">
        <w:rPr>
          <w:rFonts w:ascii="Times New Roman" w:eastAsia="TimesNewRomanPSMT" w:hAnsi="Times New Roman" w:cs="Times New Roman"/>
          <w:sz w:val="18"/>
          <w:szCs w:val="18"/>
        </w:rPr>
        <w:t>Erensal</w:t>
      </w:r>
      <w:proofErr w:type="spellEnd"/>
      <w:r w:rsidRPr="00C31A02">
        <w:rPr>
          <w:rFonts w:ascii="Times New Roman" w:eastAsia="TimesNewRomanPSMT" w:hAnsi="Times New Roman" w:cs="Times New Roman"/>
          <w:sz w:val="18"/>
          <w:szCs w:val="18"/>
        </w:rPr>
        <w:t>, Y.C</w:t>
      </w:r>
      <w:proofErr w:type="gramStart"/>
      <w:r w:rsidRPr="00C31A02">
        <w:rPr>
          <w:rFonts w:ascii="Times New Roman" w:eastAsia="TimesNewRomanPSMT" w:hAnsi="Times New Roman" w:cs="Times New Roman"/>
          <w:sz w:val="18"/>
          <w:szCs w:val="18"/>
        </w:rPr>
        <w:t>.,</w:t>
      </w:r>
      <w:proofErr w:type="gram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Using</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analytic</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hierarchy</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process</w:t>
      </w:r>
      <w:proofErr w:type="spellEnd"/>
      <w:r w:rsidRPr="00C31A02">
        <w:rPr>
          <w:rFonts w:ascii="Times New Roman" w:eastAsia="TimesNewRomanPSMT" w:hAnsi="Times New Roman" w:cs="Times New Roman"/>
          <w:sz w:val="18"/>
          <w:szCs w:val="18"/>
        </w:rPr>
        <w:t xml:space="preserve"> (AHP) </w:t>
      </w:r>
      <w:proofErr w:type="spellStart"/>
      <w:r w:rsidRPr="00C31A02">
        <w:rPr>
          <w:rFonts w:ascii="Times New Roman" w:eastAsia="TimesNewRomanPSMT" w:hAnsi="Times New Roman" w:cs="Times New Roman"/>
          <w:sz w:val="18"/>
          <w:szCs w:val="18"/>
        </w:rPr>
        <w:t>to</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improve</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human</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performance</w:t>
      </w:r>
      <w:proofErr w:type="spellEnd"/>
      <w:r w:rsidRPr="00C31A02">
        <w:rPr>
          <w:rFonts w:ascii="Times New Roman" w:eastAsia="TimesNewRomanPSMT" w:hAnsi="Times New Roman" w:cs="Times New Roman"/>
          <w:sz w:val="18"/>
          <w:szCs w:val="18"/>
        </w:rPr>
        <w:t xml:space="preserve">, An </w:t>
      </w:r>
      <w:proofErr w:type="spellStart"/>
      <w:r w:rsidRPr="00C31A02">
        <w:rPr>
          <w:rFonts w:ascii="Times New Roman" w:eastAsia="TimesNewRomanPSMT" w:hAnsi="Times New Roman" w:cs="Times New Roman"/>
          <w:sz w:val="18"/>
          <w:szCs w:val="18"/>
        </w:rPr>
        <w:t>application</w:t>
      </w:r>
      <w:proofErr w:type="spellEnd"/>
      <w:r w:rsidRPr="00C31A02">
        <w:rPr>
          <w:rFonts w:ascii="Times New Roman" w:eastAsia="TimesNewRomanPSMT" w:hAnsi="Times New Roman" w:cs="Times New Roman"/>
          <w:sz w:val="18"/>
          <w:szCs w:val="18"/>
        </w:rPr>
        <w:t xml:space="preserve"> of </w:t>
      </w:r>
      <w:proofErr w:type="spellStart"/>
      <w:r w:rsidRPr="00C31A02">
        <w:rPr>
          <w:rFonts w:ascii="Times New Roman" w:eastAsia="TimesNewRomanPSMT" w:hAnsi="Times New Roman" w:cs="Times New Roman"/>
          <w:sz w:val="18"/>
          <w:szCs w:val="18"/>
        </w:rPr>
        <w:t>multiple</w:t>
      </w:r>
      <w:proofErr w:type="spellEnd"/>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proofErr w:type="spellStart"/>
      <w:r w:rsidRPr="00C31A02">
        <w:rPr>
          <w:rFonts w:ascii="Times New Roman" w:eastAsia="TimesNewRomanPSMT" w:hAnsi="Times New Roman" w:cs="Times New Roman"/>
          <w:sz w:val="18"/>
          <w:szCs w:val="18"/>
        </w:rPr>
        <w:t>criteria</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decision</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making</w:t>
      </w:r>
      <w:proofErr w:type="spellEnd"/>
      <w:r w:rsidRPr="00C31A02">
        <w:rPr>
          <w:rFonts w:ascii="Times New Roman" w:eastAsia="TimesNewRomanPSMT" w:hAnsi="Times New Roman" w:cs="Times New Roman"/>
          <w:sz w:val="18"/>
          <w:szCs w:val="18"/>
        </w:rPr>
        <w:t xml:space="preserve"> problem”, </w:t>
      </w:r>
      <w:proofErr w:type="spellStart"/>
      <w:r w:rsidRPr="00C31A02">
        <w:rPr>
          <w:rFonts w:ascii="Times New Roman" w:eastAsia="TimesNewRomanPSMT" w:hAnsi="Times New Roman" w:cs="Times New Roman"/>
          <w:sz w:val="18"/>
          <w:szCs w:val="18"/>
        </w:rPr>
        <w:t>Journal</w:t>
      </w:r>
      <w:proofErr w:type="spellEnd"/>
      <w:r w:rsidRPr="00C31A02">
        <w:rPr>
          <w:rFonts w:ascii="Times New Roman" w:eastAsia="TimesNewRomanPSMT" w:hAnsi="Times New Roman" w:cs="Times New Roman"/>
          <w:sz w:val="18"/>
          <w:szCs w:val="18"/>
        </w:rPr>
        <w:t xml:space="preserve"> of </w:t>
      </w:r>
      <w:proofErr w:type="spellStart"/>
      <w:r w:rsidRPr="00C31A02">
        <w:rPr>
          <w:rFonts w:ascii="Times New Roman" w:eastAsia="TimesNewRomanPSMT" w:hAnsi="Times New Roman" w:cs="Times New Roman"/>
          <w:sz w:val="18"/>
          <w:szCs w:val="18"/>
        </w:rPr>
        <w:t>Intelligent</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Manufacturing</w:t>
      </w:r>
      <w:proofErr w:type="spellEnd"/>
      <w:r w:rsidRPr="00C31A02">
        <w:rPr>
          <w:rFonts w:ascii="Times New Roman" w:eastAsia="TimesNewRomanPSMT" w:hAnsi="Times New Roman" w:cs="Times New Roman"/>
          <w:sz w:val="18"/>
          <w:szCs w:val="18"/>
        </w:rPr>
        <w:t xml:space="preserve"> 15 (2004) 491–503.</w:t>
      </w:r>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proofErr w:type="spellStart"/>
      <w:r w:rsidRPr="00C31A02">
        <w:rPr>
          <w:rFonts w:ascii="Times New Roman" w:eastAsia="TimesNewRomanPSMT" w:hAnsi="Times New Roman" w:cs="Times New Roman"/>
          <w:sz w:val="18"/>
          <w:szCs w:val="18"/>
        </w:rPr>
        <w:t>Barber</w:t>
      </w:r>
      <w:proofErr w:type="spellEnd"/>
      <w:r w:rsidRPr="00C31A02">
        <w:rPr>
          <w:rFonts w:ascii="Times New Roman" w:eastAsia="TimesNewRomanPSMT" w:hAnsi="Times New Roman" w:cs="Times New Roman"/>
          <w:sz w:val="18"/>
          <w:szCs w:val="18"/>
        </w:rPr>
        <w:t xml:space="preserve">, E. ve </w:t>
      </w:r>
      <w:proofErr w:type="spellStart"/>
      <w:r w:rsidRPr="00C31A02">
        <w:rPr>
          <w:rFonts w:ascii="Times New Roman" w:eastAsia="TimesNewRomanPSMT" w:hAnsi="Times New Roman" w:cs="Times New Roman"/>
          <w:sz w:val="18"/>
          <w:szCs w:val="18"/>
        </w:rPr>
        <w:t>Hildebrand</w:t>
      </w:r>
      <w:proofErr w:type="spellEnd"/>
      <w:r w:rsidRPr="00C31A02">
        <w:rPr>
          <w:rFonts w:ascii="Times New Roman" w:eastAsia="TimesNewRomanPSMT" w:hAnsi="Times New Roman" w:cs="Times New Roman"/>
          <w:sz w:val="18"/>
          <w:szCs w:val="18"/>
        </w:rPr>
        <w:t>, L</w:t>
      </w:r>
      <w:proofErr w:type="gramStart"/>
      <w:r w:rsidRPr="00C31A02">
        <w:rPr>
          <w:rFonts w:ascii="Times New Roman" w:eastAsia="TimesNewRomanPSMT" w:hAnsi="Times New Roman" w:cs="Times New Roman"/>
          <w:sz w:val="18"/>
          <w:szCs w:val="18"/>
        </w:rPr>
        <w:t>.,</w:t>
      </w:r>
      <w:proofErr w:type="gram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Guidelines</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for</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applying</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criterion</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to</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designate</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routes</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for</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transporting</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hazardous</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materials</w:t>
      </w:r>
      <w:proofErr w:type="spellEnd"/>
      <w:r w:rsidRPr="00C31A02">
        <w:rPr>
          <w:rFonts w:ascii="Times New Roman" w:eastAsia="TimesNewRomanPSMT" w:hAnsi="Times New Roman" w:cs="Times New Roman"/>
          <w:sz w:val="18"/>
          <w:szCs w:val="18"/>
        </w:rPr>
        <w:t>,” FHWA IP</w:t>
      </w:r>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r w:rsidRPr="00C31A02">
        <w:rPr>
          <w:rFonts w:ascii="Times New Roman" w:eastAsia="TimesNewRomanPSMT" w:hAnsi="Times New Roman" w:cs="Times New Roman"/>
          <w:sz w:val="18"/>
          <w:szCs w:val="18"/>
        </w:rPr>
        <w:t>1980-15, US DOT, Washington D. C.</w:t>
      </w:r>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proofErr w:type="spellStart"/>
      <w:r w:rsidRPr="00C31A02">
        <w:rPr>
          <w:rFonts w:ascii="Times New Roman" w:eastAsia="TimesNewRomanPSMT" w:hAnsi="Times New Roman" w:cs="Times New Roman"/>
          <w:sz w:val="18"/>
          <w:szCs w:val="18"/>
        </w:rPr>
        <w:t>Badri</w:t>
      </w:r>
      <w:proofErr w:type="spellEnd"/>
      <w:r w:rsidRPr="00C31A02">
        <w:rPr>
          <w:rFonts w:ascii="Times New Roman" w:eastAsia="TimesNewRomanPSMT" w:hAnsi="Times New Roman" w:cs="Times New Roman"/>
          <w:sz w:val="18"/>
          <w:szCs w:val="18"/>
        </w:rPr>
        <w:t xml:space="preserve">, M.A. “A </w:t>
      </w:r>
      <w:proofErr w:type="spellStart"/>
      <w:r w:rsidRPr="00C31A02">
        <w:rPr>
          <w:rFonts w:ascii="Times New Roman" w:eastAsia="TimesNewRomanPSMT" w:hAnsi="Times New Roman" w:cs="Times New Roman"/>
          <w:sz w:val="18"/>
          <w:szCs w:val="18"/>
        </w:rPr>
        <w:t>combined</w:t>
      </w:r>
      <w:proofErr w:type="spellEnd"/>
      <w:r w:rsidRPr="00C31A02">
        <w:rPr>
          <w:rFonts w:ascii="Times New Roman" w:eastAsia="TimesNewRomanPSMT" w:hAnsi="Times New Roman" w:cs="Times New Roman"/>
          <w:sz w:val="18"/>
          <w:szCs w:val="18"/>
        </w:rPr>
        <w:t xml:space="preserve"> AHP-GP model </w:t>
      </w:r>
      <w:proofErr w:type="spellStart"/>
      <w:r w:rsidRPr="00C31A02">
        <w:rPr>
          <w:rFonts w:ascii="Times New Roman" w:eastAsia="TimesNewRomanPSMT" w:hAnsi="Times New Roman" w:cs="Times New Roman"/>
          <w:sz w:val="18"/>
          <w:szCs w:val="18"/>
        </w:rPr>
        <w:t>for</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quality</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control</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systems</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International</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Journal</w:t>
      </w:r>
      <w:proofErr w:type="spellEnd"/>
      <w:r w:rsidRPr="00C31A02">
        <w:rPr>
          <w:rFonts w:ascii="Times New Roman" w:eastAsia="TimesNewRomanPSMT" w:hAnsi="Times New Roman" w:cs="Times New Roman"/>
          <w:sz w:val="18"/>
          <w:szCs w:val="18"/>
        </w:rPr>
        <w:t xml:space="preserve"> of </w:t>
      </w:r>
      <w:proofErr w:type="spellStart"/>
      <w:r w:rsidRPr="00C31A02">
        <w:rPr>
          <w:rFonts w:ascii="Times New Roman" w:eastAsia="TimesNewRomanPSMT" w:hAnsi="Times New Roman" w:cs="Times New Roman"/>
          <w:sz w:val="18"/>
          <w:szCs w:val="18"/>
        </w:rPr>
        <w:t>Production</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Economics</w:t>
      </w:r>
      <w:proofErr w:type="spellEnd"/>
      <w:r w:rsidRPr="00C31A02">
        <w:rPr>
          <w:rFonts w:ascii="Times New Roman" w:eastAsia="TimesNewRomanPSMT" w:hAnsi="Times New Roman" w:cs="Times New Roman"/>
          <w:sz w:val="18"/>
          <w:szCs w:val="18"/>
        </w:rPr>
        <w:t>, 2001, 72,</w:t>
      </w:r>
      <w:proofErr w:type="spellStart"/>
      <w:r w:rsidRPr="00C31A02">
        <w:rPr>
          <w:rFonts w:ascii="Times New Roman" w:eastAsia="TimesNewRomanPSMT" w:hAnsi="Times New Roman" w:cs="Times New Roman"/>
          <w:sz w:val="18"/>
          <w:szCs w:val="18"/>
        </w:rPr>
        <w:t>pp</w:t>
      </w:r>
      <w:proofErr w:type="spellEnd"/>
      <w:r w:rsidRPr="00C31A02">
        <w:rPr>
          <w:rFonts w:ascii="Times New Roman" w:eastAsia="TimesNewRomanPSMT" w:hAnsi="Times New Roman" w:cs="Times New Roman"/>
          <w:sz w:val="18"/>
          <w:szCs w:val="18"/>
        </w:rPr>
        <w:t>.</w:t>
      </w:r>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r w:rsidRPr="00C31A02">
        <w:rPr>
          <w:rFonts w:ascii="Times New Roman" w:eastAsia="TimesNewRomanPSMT" w:hAnsi="Times New Roman" w:cs="Times New Roman"/>
          <w:sz w:val="18"/>
          <w:szCs w:val="18"/>
        </w:rPr>
        <w:t>27-40.</w:t>
      </w:r>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proofErr w:type="spellStart"/>
      <w:r w:rsidRPr="00C31A02">
        <w:rPr>
          <w:rFonts w:ascii="Times New Roman" w:eastAsia="TimesNewRomanPSMT" w:hAnsi="Times New Roman" w:cs="Times New Roman"/>
          <w:sz w:val="18"/>
          <w:szCs w:val="18"/>
        </w:rPr>
        <w:t>Bhutta</w:t>
      </w:r>
      <w:proofErr w:type="spellEnd"/>
      <w:r w:rsidRPr="00C31A02">
        <w:rPr>
          <w:rFonts w:ascii="Times New Roman" w:eastAsia="TimesNewRomanPSMT" w:hAnsi="Times New Roman" w:cs="Times New Roman"/>
          <w:sz w:val="18"/>
          <w:szCs w:val="18"/>
        </w:rPr>
        <w:t>, K. S</w:t>
      </w:r>
      <w:proofErr w:type="gramStart"/>
      <w:r w:rsidRPr="00C31A02">
        <w:rPr>
          <w:rFonts w:ascii="Times New Roman" w:eastAsia="TimesNewRomanPSMT" w:hAnsi="Times New Roman" w:cs="Times New Roman"/>
          <w:sz w:val="18"/>
          <w:szCs w:val="18"/>
        </w:rPr>
        <w:t>.,</w:t>
      </w:r>
      <w:proofErr w:type="gramEnd"/>
      <w:r w:rsidRPr="00C31A02">
        <w:rPr>
          <w:rFonts w:ascii="Times New Roman" w:eastAsia="TimesNewRomanPSMT" w:hAnsi="Times New Roman" w:cs="Times New Roman"/>
          <w:sz w:val="18"/>
          <w:szCs w:val="18"/>
        </w:rPr>
        <w:t xml:space="preserve"> ve </w:t>
      </w:r>
      <w:proofErr w:type="spellStart"/>
      <w:r w:rsidRPr="00C31A02">
        <w:rPr>
          <w:rFonts w:ascii="Times New Roman" w:eastAsia="TimesNewRomanPSMT" w:hAnsi="Times New Roman" w:cs="Times New Roman"/>
          <w:sz w:val="18"/>
          <w:szCs w:val="18"/>
        </w:rPr>
        <w:t>Huq</w:t>
      </w:r>
      <w:proofErr w:type="spellEnd"/>
      <w:r w:rsidRPr="00C31A02">
        <w:rPr>
          <w:rFonts w:ascii="Times New Roman" w:eastAsia="TimesNewRomanPSMT" w:hAnsi="Times New Roman" w:cs="Times New Roman"/>
          <w:sz w:val="18"/>
          <w:szCs w:val="18"/>
        </w:rPr>
        <w:t>, F. “</w:t>
      </w:r>
      <w:proofErr w:type="spellStart"/>
      <w:r w:rsidRPr="00C31A02">
        <w:rPr>
          <w:rFonts w:ascii="Times New Roman" w:eastAsia="TimesNewRomanPSMT" w:hAnsi="Times New Roman" w:cs="Times New Roman"/>
          <w:sz w:val="18"/>
          <w:szCs w:val="18"/>
        </w:rPr>
        <w:t>Supplier</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selection</w:t>
      </w:r>
      <w:proofErr w:type="spellEnd"/>
      <w:r w:rsidRPr="00C31A02">
        <w:rPr>
          <w:rFonts w:ascii="Times New Roman" w:eastAsia="TimesNewRomanPSMT" w:hAnsi="Times New Roman" w:cs="Times New Roman"/>
          <w:sz w:val="18"/>
          <w:szCs w:val="18"/>
        </w:rPr>
        <w:t xml:space="preserve"> problem: a </w:t>
      </w:r>
      <w:proofErr w:type="spellStart"/>
      <w:r w:rsidRPr="00C31A02">
        <w:rPr>
          <w:rFonts w:ascii="Times New Roman" w:eastAsia="TimesNewRomanPSMT" w:hAnsi="Times New Roman" w:cs="Times New Roman"/>
          <w:sz w:val="18"/>
          <w:szCs w:val="18"/>
        </w:rPr>
        <w:t>comparison</w:t>
      </w:r>
      <w:proofErr w:type="spellEnd"/>
      <w:r w:rsidRPr="00C31A02">
        <w:rPr>
          <w:rFonts w:ascii="Times New Roman" w:eastAsia="TimesNewRomanPSMT" w:hAnsi="Times New Roman" w:cs="Times New Roman"/>
          <w:sz w:val="18"/>
          <w:szCs w:val="18"/>
        </w:rPr>
        <w:t xml:space="preserve"> of </w:t>
      </w:r>
      <w:proofErr w:type="spellStart"/>
      <w:r w:rsidRPr="00C31A02">
        <w:rPr>
          <w:rFonts w:ascii="Times New Roman" w:eastAsia="TimesNewRomanPSMT" w:hAnsi="Times New Roman" w:cs="Times New Roman"/>
          <w:sz w:val="18"/>
          <w:szCs w:val="18"/>
        </w:rPr>
        <w:t>the</w:t>
      </w:r>
      <w:proofErr w:type="spellEnd"/>
      <w:r w:rsidRPr="00C31A02">
        <w:rPr>
          <w:rFonts w:ascii="Times New Roman" w:eastAsia="TimesNewRomanPSMT" w:hAnsi="Times New Roman" w:cs="Times New Roman"/>
          <w:sz w:val="18"/>
          <w:szCs w:val="18"/>
        </w:rPr>
        <w:t xml:space="preserve"> total </w:t>
      </w:r>
      <w:proofErr w:type="spellStart"/>
      <w:r w:rsidRPr="00C31A02">
        <w:rPr>
          <w:rFonts w:ascii="Times New Roman" w:eastAsia="TimesNewRomanPSMT" w:hAnsi="Times New Roman" w:cs="Times New Roman"/>
          <w:sz w:val="18"/>
          <w:szCs w:val="18"/>
        </w:rPr>
        <w:t>cost</w:t>
      </w:r>
      <w:proofErr w:type="spellEnd"/>
      <w:r w:rsidRPr="00C31A02">
        <w:rPr>
          <w:rFonts w:ascii="Times New Roman" w:eastAsia="TimesNewRomanPSMT" w:hAnsi="Times New Roman" w:cs="Times New Roman"/>
          <w:sz w:val="18"/>
          <w:szCs w:val="18"/>
        </w:rPr>
        <w:t xml:space="preserve"> of </w:t>
      </w:r>
      <w:proofErr w:type="spellStart"/>
      <w:r w:rsidRPr="00C31A02">
        <w:rPr>
          <w:rFonts w:ascii="Times New Roman" w:eastAsia="TimesNewRomanPSMT" w:hAnsi="Times New Roman" w:cs="Times New Roman"/>
          <w:sz w:val="18"/>
          <w:szCs w:val="18"/>
        </w:rPr>
        <w:t>ownership</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and</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analytic</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hierarchy</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process</w:t>
      </w:r>
      <w:proofErr w:type="spellEnd"/>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proofErr w:type="spellStart"/>
      <w:r w:rsidRPr="00C31A02">
        <w:rPr>
          <w:rFonts w:ascii="Times New Roman" w:eastAsia="TimesNewRomanPSMT" w:hAnsi="Times New Roman" w:cs="Times New Roman"/>
          <w:sz w:val="18"/>
          <w:szCs w:val="18"/>
        </w:rPr>
        <w:t>approaches</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Supply</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Chain</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Management</w:t>
      </w:r>
      <w:proofErr w:type="spellEnd"/>
      <w:r w:rsidRPr="00C31A02">
        <w:rPr>
          <w:rFonts w:ascii="Times New Roman" w:eastAsia="TimesNewRomanPSMT" w:hAnsi="Times New Roman" w:cs="Times New Roman"/>
          <w:sz w:val="18"/>
          <w:szCs w:val="18"/>
        </w:rPr>
        <w:t xml:space="preserve">: An </w:t>
      </w:r>
      <w:proofErr w:type="spellStart"/>
      <w:r w:rsidRPr="00C31A02">
        <w:rPr>
          <w:rFonts w:ascii="Times New Roman" w:eastAsia="TimesNewRomanPSMT" w:hAnsi="Times New Roman" w:cs="Times New Roman"/>
          <w:sz w:val="18"/>
          <w:szCs w:val="18"/>
        </w:rPr>
        <w:t>International</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Journal</w:t>
      </w:r>
      <w:proofErr w:type="spellEnd"/>
      <w:r w:rsidRPr="00C31A02">
        <w:rPr>
          <w:rFonts w:ascii="Times New Roman" w:eastAsia="TimesNewRomanPSMT" w:hAnsi="Times New Roman" w:cs="Times New Roman"/>
          <w:sz w:val="18"/>
          <w:szCs w:val="18"/>
        </w:rPr>
        <w:t>, 2002, 7(3), 126-135.</w:t>
      </w:r>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proofErr w:type="spellStart"/>
      <w:r w:rsidRPr="00C31A02">
        <w:rPr>
          <w:rFonts w:ascii="Times New Roman" w:eastAsia="TimesNewRomanPSMT" w:hAnsi="Times New Roman" w:cs="Times New Roman"/>
          <w:sz w:val="18"/>
          <w:szCs w:val="18"/>
        </w:rPr>
        <w:t>Bonvicini</w:t>
      </w:r>
      <w:proofErr w:type="spellEnd"/>
      <w:r w:rsidRPr="00C31A02">
        <w:rPr>
          <w:rFonts w:ascii="Times New Roman" w:eastAsia="TimesNewRomanPSMT" w:hAnsi="Times New Roman" w:cs="Times New Roman"/>
          <w:sz w:val="18"/>
          <w:szCs w:val="18"/>
        </w:rPr>
        <w:t>,S</w:t>
      </w:r>
      <w:proofErr w:type="gramStart"/>
      <w:r w:rsidRPr="00C31A02">
        <w:rPr>
          <w:rFonts w:ascii="Times New Roman" w:eastAsia="TimesNewRomanPSMT" w:hAnsi="Times New Roman" w:cs="Times New Roman"/>
          <w:sz w:val="18"/>
          <w:szCs w:val="18"/>
        </w:rPr>
        <w:t>.,</w:t>
      </w:r>
      <w:proofErr w:type="gram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Leonelli</w:t>
      </w:r>
      <w:proofErr w:type="spellEnd"/>
      <w:r w:rsidRPr="00C31A02">
        <w:rPr>
          <w:rFonts w:ascii="Times New Roman" w:eastAsia="TimesNewRomanPSMT" w:hAnsi="Times New Roman" w:cs="Times New Roman"/>
          <w:sz w:val="18"/>
          <w:szCs w:val="18"/>
        </w:rPr>
        <w:t xml:space="preserve">, P. ve </w:t>
      </w:r>
      <w:proofErr w:type="spellStart"/>
      <w:r w:rsidRPr="00C31A02">
        <w:rPr>
          <w:rFonts w:ascii="Times New Roman" w:eastAsia="TimesNewRomanPSMT" w:hAnsi="Times New Roman" w:cs="Times New Roman"/>
          <w:sz w:val="18"/>
          <w:szCs w:val="18"/>
        </w:rPr>
        <w:t>Spadoni</w:t>
      </w:r>
      <w:proofErr w:type="spellEnd"/>
      <w:r w:rsidRPr="00C31A02">
        <w:rPr>
          <w:rFonts w:ascii="Times New Roman" w:eastAsia="TimesNewRomanPSMT" w:hAnsi="Times New Roman" w:cs="Times New Roman"/>
          <w:sz w:val="18"/>
          <w:szCs w:val="18"/>
        </w:rPr>
        <w:t xml:space="preserve">, G., “Risk </w:t>
      </w:r>
      <w:proofErr w:type="spellStart"/>
      <w:r w:rsidRPr="00C31A02">
        <w:rPr>
          <w:rFonts w:ascii="Times New Roman" w:eastAsia="TimesNewRomanPSMT" w:hAnsi="Times New Roman" w:cs="Times New Roman"/>
          <w:sz w:val="18"/>
          <w:szCs w:val="18"/>
        </w:rPr>
        <w:t>analysis</w:t>
      </w:r>
      <w:proofErr w:type="spellEnd"/>
      <w:r w:rsidRPr="00C31A02">
        <w:rPr>
          <w:rFonts w:ascii="Times New Roman" w:eastAsia="TimesNewRomanPSMT" w:hAnsi="Times New Roman" w:cs="Times New Roman"/>
          <w:sz w:val="18"/>
          <w:szCs w:val="18"/>
        </w:rPr>
        <w:t xml:space="preserve"> of </w:t>
      </w:r>
      <w:proofErr w:type="spellStart"/>
      <w:r w:rsidRPr="00C31A02">
        <w:rPr>
          <w:rFonts w:ascii="Times New Roman" w:eastAsia="TimesNewRomanPSMT" w:hAnsi="Times New Roman" w:cs="Times New Roman"/>
          <w:sz w:val="18"/>
          <w:szCs w:val="18"/>
        </w:rPr>
        <w:t>hazardous</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materials</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transportation</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Evaluating</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uncertainty</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by</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means</w:t>
      </w:r>
      <w:proofErr w:type="spellEnd"/>
      <w:r w:rsidRPr="00C31A02">
        <w:rPr>
          <w:rFonts w:ascii="Times New Roman" w:eastAsia="TimesNewRomanPSMT" w:hAnsi="Times New Roman" w:cs="Times New Roman"/>
          <w:sz w:val="18"/>
          <w:szCs w:val="18"/>
        </w:rPr>
        <w:t xml:space="preserve"> of</w:t>
      </w:r>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proofErr w:type="spellStart"/>
      <w:r w:rsidRPr="00C31A02">
        <w:rPr>
          <w:rFonts w:ascii="Times New Roman" w:eastAsia="TimesNewRomanPSMT" w:hAnsi="Times New Roman" w:cs="Times New Roman"/>
          <w:sz w:val="18"/>
          <w:szCs w:val="18"/>
        </w:rPr>
        <w:t>fuzzy</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logic</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Journal</w:t>
      </w:r>
      <w:proofErr w:type="spellEnd"/>
      <w:r w:rsidRPr="00C31A02">
        <w:rPr>
          <w:rFonts w:ascii="Times New Roman" w:eastAsia="TimesNewRomanPSMT" w:hAnsi="Times New Roman" w:cs="Times New Roman"/>
          <w:sz w:val="18"/>
          <w:szCs w:val="18"/>
        </w:rPr>
        <w:t xml:space="preserve"> of </w:t>
      </w:r>
      <w:proofErr w:type="spellStart"/>
      <w:r w:rsidRPr="00C31A02">
        <w:rPr>
          <w:rFonts w:ascii="Times New Roman" w:eastAsia="TimesNewRomanPSMT" w:hAnsi="Times New Roman" w:cs="Times New Roman"/>
          <w:sz w:val="18"/>
          <w:szCs w:val="18"/>
        </w:rPr>
        <w:t>Hazardous</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Materials</w:t>
      </w:r>
      <w:proofErr w:type="spellEnd"/>
      <w:r w:rsidRPr="00C31A02">
        <w:rPr>
          <w:rFonts w:ascii="Times New Roman" w:eastAsia="TimesNewRomanPSMT" w:hAnsi="Times New Roman" w:cs="Times New Roman"/>
          <w:sz w:val="18"/>
          <w:szCs w:val="18"/>
        </w:rPr>
        <w:t xml:space="preserve">, 1998, vo1.62, </w:t>
      </w:r>
      <w:proofErr w:type="spellStart"/>
      <w:r w:rsidRPr="00C31A02">
        <w:rPr>
          <w:rFonts w:ascii="Times New Roman" w:eastAsia="TimesNewRomanPSMT" w:hAnsi="Times New Roman" w:cs="Times New Roman"/>
          <w:sz w:val="18"/>
          <w:szCs w:val="18"/>
        </w:rPr>
        <w:t>pp</w:t>
      </w:r>
      <w:proofErr w:type="spellEnd"/>
      <w:r w:rsidRPr="00C31A02">
        <w:rPr>
          <w:rFonts w:ascii="Times New Roman" w:eastAsia="TimesNewRomanPSMT" w:hAnsi="Times New Roman" w:cs="Times New Roman"/>
          <w:sz w:val="18"/>
          <w:szCs w:val="18"/>
        </w:rPr>
        <w:t>. 59-74</w:t>
      </w:r>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proofErr w:type="spellStart"/>
      <w:r w:rsidRPr="00C31A02">
        <w:rPr>
          <w:rFonts w:ascii="Times New Roman" w:eastAsia="TimesNewRomanPSMT" w:hAnsi="Times New Roman" w:cs="Times New Roman"/>
          <w:sz w:val="18"/>
          <w:szCs w:val="18"/>
        </w:rPr>
        <w:t>Chakraborty</w:t>
      </w:r>
      <w:proofErr w:type="spellEnd"/>
      <w:r w:rsidRPr="00C31A02">
        <w:rPr>
          <w:rFonts w:ascii="Times New Roman" w:eastAsia="TimesNewRomanPSMT" w:hAnsi="Times New Roman" w:cs="Times New Roman"/>
          <w:sz w:val="18"/>
          <w:szCs w:val="18"/>
        </w:rPr>
        <w:t>, J</w:t>
      </w:r>
      <w:proofErr w:type="gramStart"/>
      <w:r w:rsidRPr="00C31A02">
        <w:rPr>
          <w:rFonts w:ascii="Times New Roman" w:eastAsia="TimesNewRomanPSMT" w:hAnsi="Times New Roman" w:cs="Times New Roman"/>
          <w:sz w:val="18"/>
          <w:szCs w:val="18"/>
        </w:rPr>
        <w:t>.,</w:t>
      </w:r>
      <w:proofErr w:type="gram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Acute</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exposure</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to</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extremely</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hazardous</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substances</w:t>
      </w:r>
      <w:proofErr w:type="spellEnd"/>
      <w:r w:rsidRPr="00C31A02">
        <w:rPr>
          <w:rFonts w:ascii="Times New Roman" w:eastAsia="TimesNewRomanPSMT" w:hAnsi="Times New Roman" w:cs="Times New Roman"/>
          <w:sz w:val="18"/>
          <w:szCs w:val="18"/>
        </w:rPr>
        <w:t xml:space="preserve">: an </w:t>
      </w:r>
      <w:proofErr w:type="spellStart"/>
      <w:r w:rsidRPr="00C31A02">
        <w:rPr>
          <w:rFonts w:ascii="Times New Roman" w:eastAsia="TimesNewRomanPSMT" w:hAnsi="Times New Roman" w:cs="Times New Roman"/>
          <w:sz w:val="18"/>
          <w:szCs w:val="18"/>
        </w:rPr>
        <w:t>analysis</w:t>
      </w:r>
      <w:proofErr w:type="spellEnd"/>
      <w:r w:rsidRPr="00C31A02">
        <w:rPr>
          <w:rFonts w:ascii="Times New Roman" w:eastAsia="TimesNewRomanPSMT" w:hAnsi="Times New Roman" w:cs="Times New Roman"/>
          <w:sz w:val="18"/>
          <w:szCs w:val="18"/>
        </w:rPr>
        <w:t xml:space="preserve"> of </w:t>
      </w:r>
      <w:proofErr w:type="spellStart"/>
      <w:r w:rsidRPr="00C31A02">
        <w:rPr>
          <w:rFonts w:ascii="Times New Roman" w:eastAsia="TimesNewRomanPSMT" w:hAnsi="Times New Roman" w:cs="Times New Roman"/>
          <w:sz w:val="18"/>
          <w:szCs w:val="18"/>
        </w:rPr>
        <w:t>environmental</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equity</w:t>
      </w:r>
      <w:proofErr w:type="spellEnd"/>
      <w:r w:rsidRPr="00C31A02">
        <w:rPr>
          <w:rFonts w:ascii="Times New Roman" w:eastAsia="TimesNewRomanPSMT" w:hAnsi="Times New Roman" w:cs="Times New Roman"/>
          <w:sz w:val="18"/>
          <w:szCs w:val="18"/>
        </w:rPr>
        <w:t xml:space="preserve">”, Risk </w:t>
      </w:r>
      <w:proofErr w:type="spellStart"/>
      <w:r w:rsidRPr="00C31A02">
        <w:rPr>
          <w:rFonts w:ascii="Times New Roman" w:eastAsia="TimesNewRomanPSMT" w:hAnsi="Times New Roman" w:cs="Times New Roman"/>
          <w:sz w:val="18"/>
          <w:szCs w:val="18"/>
        </w:rPr>
        <w:t>Analysis</w:t>
      </w:r>
      <w:proofErr w:type="spellEnd"/>
      <w:r w:rsidRPr="00C31A02">
        <w:rPr>
          <w:rFonts w:ascii="Times New Roman" w:eastAsia="TimesNewRomanPSMT" w:hAnsi="Times New Roman" w:cs="Times New Roman"/>
          <w:sz w:val="18"/>
          <w:szCs w:val="18"/>
        </w:rPr>
        <w:t>, 2001, 21(5),</w:t>
      </w:r>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r w:rsidRPr="00C31A02">
        <w:rPr>
          <w:rFonts w:ascii="Times New Roman" w:eastAsia="TimesNewRomanPSMT" w:hAnsi="Times New Roman" w:cs="Times New Roman"/>
          <w:sz w:val="18"/>
          <w:szCs w:val="18"/>
        </w:rPr>
        <w:t>883-883.</w:t>
      </w:r>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proofErr w:type="spellStart"/>
      <w:r w:rsidRPr="00C31A02">
        <w:rPr>
          <w:rFonts w:ascii="Times New Roman" w:eastAsia="TimesNewRomanPSMT" w:hAnsi="Times New Roman" w:cs="Times New Roman"/>
          <w:sz w:val="18"/>
          <w:szCs w:val="18"/>
        </w:rPr>
        <w:t>Chen</w:t>
      </w:r>
      <w:proofErr w:type="spellEnd"/>
      <w:r w:rsidRPr="00C31A02">
        <w:rPr>
          <w:rFonts w:ascii="Times New Roman" w:eastAsia="TimesNewRomanPSMT" w:hAnsi="Times New Roman" w:cs="Times New Roman"/>
          <w:sz w:val="18"/>
          <w:szCs w:val="18"/>
        </w:rPr>
        <w:t>, K.C</w:t>
      </w:r>
      <w:proofErr w:type="gramStart"/>
      <w:r w:rsidRPr="00C31A02">
        <w:rPr>
          <w:rFonts w:ascii="Times New Roman" w:eastAsia="TimesNewRomanPSMT" w:hAnsi="Times New Roman" w:cs="Times New Roman"/>
          <w:sz w:val="18"/>
          <w:szCs w:val="18"/>
        </w:rPr>
        <w:t>.,</w:t>
      </w:r>
      <w:proofErr w:type="gramEnd"/>
      <w:r w:rsidRPr="00C31A02">
        <w:rPr>
          <w:rFonts w:ascii="Times New Roman" w:eastAsia="TimesNewRomanPSMT" w:hAnsi="Times New Roman" w:cs="Times New Roman"/>
          <w:sz w:val="18"/>
          <w:szCs w:val="18"/>
        </w:rPr>
        <w:t xml:space="preserve"> “A </w:t>
      </w:r>
      <w:proofErr w:type="spellStart"/>
      <w:r w:rsidRPr="00C31A02">
        <w:rPr>
          <w:rFonts w:ascii="Times New Roman" w:eastAsia="TimesNewRomanPSMT" w:hAnsi="Times New Roman" w:cs="Times New Roman"/>
          <w:sz w:val="18"/>
          <w:szCs w:val="18"/>
        </w:rPr>
        <w:t>Comprehensive</w:t>
      </w:r>
      <w:proofErr w:type="spellEnd"/>
      <w:r w:rsidRPr="00C31A02">
        <w:rPr>
          <w:rFonts w:ascii="Times New Roman" w:eastAsia="TimesNewRomanPSMT" w:hAnsi="Times New Roman" w:cs="Times New Roman"/>
          <w:sz w:val="18"/>
          <w:szCs w:val="18"/>
        </w:rPr>
        <w:t xml:space="preserve"> Risk </w:t>
      </w:r>
      <w:proofErr w:type="spellStart"/>
      <w:r w:rsidRPr="00C31A02">
        <w:rPr>
          <w:rFonts w:ascii="Times New Roman" w:eastAsia="TimesNewRomanPSMT" w:hAnsi="Times New Roman" w:cs="Times New Roman"/>
          <w:sz w:val="18"/>
          <w:szCs w:val="18"/>
        </w:rPr>
        <w:t>Evaluation</w:t>
      </w:r>
      <w:proofErr w:type="spellEnd"/>
      <w:r w:rsidRPr="00C31A02">
        <w:rPr>
          <w:rFonts w:ascii="Times New Roman" w:eastAsia="TimesNewRomanPSMT" w:hAnsi="Times New Roman" w:cs="Times New Roman"/>
          <w:sz w:val="18"/>
          <w:szCs w:val="18"/>
        </w:rPr>
        <w:t xml:space="preserve"> Model </w:t>
      </w:r>
      <w:proofErr w:type="spellStart"/>
      <w:r w:rsidRPr="00C31A02">
        <w:rPr>
          <w:rFonts w:ascii="Times New Roman" w:eastAsia="TimesNewRomanPSMT" w:hAnsi="Times New Roman" w:cs="Times New Roman"/>
          <w:sz w:val="18"/>
          <w:szCs w:val="18"/>
        </w:rPr>
        <w:t>for</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Hazmat</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Transportation</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Logistics</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Technology</w:t>
      </w:r>
      <w:proofErr w:type="spellEnd"/>
      <w:r w:rsidRPr="00C31A02">
        <w:rPr>
          <w:rFonts w:ascii="Times New Roman" w:eastAsia="TimesNewRomanPSMT" w:hAnsi="Times New Roman" w:cs="Times New Roman"/>
          <w:sz w:val="18"/>
          <w:szCs w:val="18"/>
        </w:rPr>
        <w:t xml:space="preserve">, 2007, vo1.26, </w:t>
      </w:r>
      <w:proofErr w:type="spellStart"/>
      <w:r w:rsidRPr="00C31A02">
        <w:rPr>
          <w:rFonts w:ascii="Times New Roman" w:eastAsia="TimesNewRomanPSMT" w:hAnsi="Times New Roman" w:cs="Times New Roman"/>
          <w:sz w:val="18"/>
          <w:szCs w:val="18"/>
        </w:rPr>
        <w:t>pp</w:t>
      </w:r>
      <w:proofErr w:type="spellEnd"/>
      <w:r w:rsidRPr="00C31A02">
        <w:rPr>
          <w:rFonts w:ascii="Times New Roman" w:eastAsia="TimesNewRomanPSMT" w:hAnsi="Times New Roman" w:cs="Times New Roman"/>
          <w:sz w:val="18"/>
          <w:szCs w:val="18"/>
        </w:rPr>
        <w:t>. 68-70, 76.</w:t>
      </w:r>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proofErr w:type="spellStart"/>
      <w:r w:rsidRPr="00C31A02">
        <w:rPr>
          <w:rFonts w:ascii="Times New Roman" w:eastAsia="TimesNewRomanPSMT" w:hAnsi="Times New Roman" w:cs="Times New Roman"/>
          <w:sz w:val="18"/>
          <w:szCs w:val="18"/>
        </w:rPr>
        <w:t>Chen</w:t>
      </w:r>
      <w:proofErr w:type="spellEnd"/>
      <w:r w:rsidRPr="00C31A02">
        <w:rPr>
          <w:rFonts w:ascii="Times New Roman" w:eastAsia="TimesNewRomanPSMT" w:hAnsi="Times New Roman" w:cs="Times New Roman"/>
          <w:sz w:val="18"/>
          <w:szCs w:val="18"/>
        </w:rPr>
        <w:t>, Z</w:t>
      </w:r>
      <w:proofErr w:type="gramStart"/>
      <w:r w:rsidRPr="00C31A02">
        <w:rPr>
          <w:rFonts w:ascii="Times New Roman" w:eastAsia="TimesNewRomanPSMT" w:hAnsi="Times New Roman" w:cs="Times New Roman"/>
          <w:sz w:val="18"/>
          <w:szCs w:val="18"/>
        </w:rPr>
        <w:t>.,</w:t>
      </w:r>
      <w:proofErr w:type="gram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Chen</w:t>
      </w:r>
      <w:proofErr w:type="spellEnd"/>
      <w:r w:rsidRPr="00C31A02">
        <w:rPr>
          <w:rFonts w:ascii="Times New Roman" w:eastAsia="TimesNewRomanPSMT" w:hAnsi="Times New Roman" w:cs="Times New Roman"/>
          <w:sz w:val="18"/>
          <w:szCs w:val="18"/>
        </w:rPr>
        <w:t xml:space="preserve">, Z. G. ve </w:t>
      </w:r>
      <w:proofErr w:type="spellStart"/>
      <w:r w:rsidRPr="00C31A02">
        <w:rPr>
          <w:rFonts w:ascii="Times New Roman" w:eastAsia="TimesNewRomanPSMT" w:hAnsi="Times New Roman" w:cs="Times New Roman"/>
          <w:sz w:val="18"/>
          <w:szCs w:val="18"/>
        </w:rPr>
        <w:t>Tian</w:t>
      </w:r>
      <w:proofErr w:type="spellEnd"/>
      <w:r w:rsidRPr="00C31A02">
        <w:rPr>
          <w:rFonts w:ascii="Times New Roman" w:eastAsia="TimesNewRomanPSMT" w:hAnsi="Times New Roman" w:cs="Times New Roman"/>
          <w:sz w:val="18"/>
          <w:szCs w:val="18"/>
        </w:rPr>
        <w:t>, H., “</w:t>
      </w:r>
      <w:proofErr w:type="spellStart"/>
      <w:r w:rsidRPr="00C31A02">
        <w:rPr>
          <w:rFonts w:ascii="Times New Roman" w:eastAsia="TimesNewRomanPSMT" w:hAnsi="Times New Roman" w:cs="Times New Roman"/>
          <w:sz w:val="18"/>
          <w:szCs w:val="18"/>
        </w:rPr>
        <w:t>Assessment</w:t>
      </w:r>
      <w:proofErr w:type="spellEnd"/>
      <w:r w:rsidRPr="00C31A02">
        <w:rPr>
          <w:rFonts w:ascii="Times New Roman" w:eastAsia="TimesNewRomanPSMT" w:hAnsi="Times New Roman" w:cs="Times New Roman"/>
          <w:sz w:val="18"/>
          <w:szCs w:val="18"/>
        </w:rPr>
        <w:t xml:space="preserve"> on </w:t>
      </w:r>
      <w:proofErr w:type="spellStart"/>
      <w:r w:rsidRPr="00C31A02">
        <w:rPr>
          <w:rFonts w:ascii="Times New Roman" w:eastAsia="TimesNewRomanPSMT" w:hAnsi="Times New Roman" w:cs="Times New Roman"/>
          <w:sz w:val="18"/>
          <w:szCs w:val="18"/>
        </w:rPr>
        <w:t>Road</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Transportation</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System</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for</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Dangerous</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Goods</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Industrial</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Safety</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and</w:t>
      </w:r>
      <w:proofErr w:type="spellEnd"/>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proofErr w:type="spellStart"/>
      <w:r w:rsidRPr="00C31A02">
        <w:rPr>
          <w:rFonts w:ascii="Times New Roman" w:eastAsia="TimesNewRomanPSMT" w:hAnsi="Times New Roman" w:cs="Times New Roman"/>
          <w:sz w:val="18"/>
          <w:szCs w:val="18"/>
        </w:rPr>
        <w:t>Environmental</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Protection</w:t>
      </w:r>
      <w:proofErr w:type="spellEnd"/>
      <w:r w:rsidRPr="00C31A02">
        <w:rPr>
          <w:rFonts w:ascii="Times New Roman" w:eastAsia="TimesNewRomanPSMT" w:hAnsi="Times New Roman" w:cs="Times New Roman"/>
          <w:sz w:val="18"/>
          <w:szCs w:val="18"/>
        </w:rPr>
        <w:t xml:space="preserve">, 2007, vo1.33, </w:t>
      </w:r>
      <w:proofErr w:type="spellStart"/>
      <w:r w:rsidRPr="00C31A02">
        <w:rPr>
          <w:rFonts w:ascii="Times New Roman" w:eastAsia="TimesNewRomanPSMT" w:hAnsi="Times New Roman" w:cs="Times New Roman"/>
          <w:sz w:val="18"/>
          <w:szCs w:val="18"/>
        </w:rPr>
        <w:t>pp</w:t>
      </w:r>
      <w:proofErr w:type="spellEnd"/>
      <w:r w:rsidRPr="00C31A02">
        <w:rPr>
          <w:rFonts w:ascii="Times New Roman" w:eastAsia="TimesNewRomanPSMT" w:hAnsi="Times New Roman" w:cs="Times New Roman"/>
          <w:sz w:val="18"/>
          <w:szCs w:val="18"/>
        </w:rPr>
        <w:t>. 51-53.</w:t>
      </w:r>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proofErr w:type="spellStart"/>
      <w:r w:rsidRPr="00C31A02">
        <w:rPr>
          <w:rFonts w:ascii="Times New Roman" w:eastAsia="TimesNewRomanPSMT" w:hAnsi="Times New Roman" w:cs="Times New Roman"/>
          <w:sz w:val="18"/>
          <w:szCs w:val="18"/>
        </w:rPr>
        <w:t>David</w:t>
      </w:r>
      <w:proofErr w:type="spellEnd"/>
      <w:r w:rsidRPr="00C31A02">
        <w:rPr>
          <w:rFonts w:ascii="Times New Roman" w:eastAsia="TimesNewRomanPSMT" w:hAnsi="Times New Roman" w:cs="Times New Roman"/>
          <w:sz w:val="18"/>
          <w:szCs w:val="18"/>
        </w:rPr>
        <w:t xml:space="preserve"> F. B. ve William E. D</w:t>
      </w:r>
      <w:proofErr w:type="gramStart"/>
      <w:r w:rsidRPr="00C31A02">
        <w:rPr>
          <w:rFonts w:ascii="Times New Roman" w:eastAsia="TimesNewRomanPSMT" w:hAnsi="Times New Roman" w:cs="Times New Roman"/>
          <w:sz w:val="18"/>
          <w:szCs w:val="18"/>
        </w:rPr>
        <w:t>.,</w:t>
      </w:r>
      <w:proofErr w:type="gram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Application</w:t>
      </w:r>
      <w:proofErr w:type="spellEnd"/>
      <w:r w:rsidRPr="00C31A02">
        <w:rPr>
          <w:rFonts w:ascii="Times New Roman" w:eastAsia="TimesNewRomanPSMT" w:hAnsi="Times New Roman" w:cs="Times New Roman"/>
          <w:sz w:val="18"/>
          <w:szCs w:val="18"/>
        </w:rPr>
        <w:t xml:space="preserve"> of a </w:t>
      </w:r>
      <w:proofErr w:type="spellStart"/>
      <w:r w:rsidRPr="00C31A02">
        <w:rPr>
          <w:rFonts w:ascii="Times New Roman" w:eastAsia="TimesNewRomanPSMT" w:hAnsi="Times New Roman" w:cs="Times New Roman"/>
          <w:sz w:val="18"/>
          <w:szCs w:val="18"/>
        </w:rPr>
        <w:t>Quantitative</w:t>
      </w:r>
      <w:proofErr w:type="spellEnd"/>
      <w:r w:rsidRPr="00C31A02">
        <w:rPr>
          <w:rFonts w:ascii="Times New Roman" w:eastAsia="TimesNewRomanPSMT" w:hAnsi="Times New Roman" w:cs="Times New Roman"/>
          <w:sz w:val="18"/>
          <w:szCs w:val="18"/>
        </w:rPr>
        <w:t xml:space="preserve"> Risk </w:t>
      </w:r>
      <w:proofErr w:type="spellStart"/>
      <w:r w:rsidRPr="00C31A02">
        <w:rPr>
          <w:rFonts w:ascii="Times New Roman" w:eastAsia="TimesNewRomanPSMT" w:hAnsi="Times New Roman" w:cs="Times New Roman"/>
          <w:sz w:val="18"/>
          <w:szCs w:val="18"/>
        </w:rPr>
        <w:t>Assessment</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Method</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to</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Emergency</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Response</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Planning</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Computers</w:t>
      </w:r>
      <w:proofErr w:type="spellEnd"/>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r w:rsidRPr="00C31A02">
        <w:rPr>
          <w:rFonts w:ascii="Times New Roman" w:eastAsia="TimesNewRomanPSMT" w:hAnsi="Times New Roman" w:cs="Times New Roman"/>
          <w:sz w:val="18"/>
          <w:szCs w:val="18"/>
        </w:rPr>
        <w:t xml:space="preserve">&amp; </w:t>
      </w:r>
      <w:proofErr w:type="spellStart"/>
      <w:r w:rsidRPr="00C31A02">
        <w:rPr>
          <w:rFonts w:ascii="Times New Roman" w:eastAsia="TimesNewRomanPSMT" w:hAnsi="Times New Roman" w:cs="Times New Roman"/>
          <w:sz w:val="18"/>
          <w:szCs w:val="18"/>
        </w:rPr>
        <w:t>Operations</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Research</w:t>
      </w:r>
      <w:proofErr w:type="spellEnd"/>
      <w:r w:rsidRPr="00C31A02">
        <w:rPr>
          <w:rFonts w:ascii="Times New Roman" w:eastAsia="TimesNewRomanPSMT" w:hAnsi="Times New Roman" w:cs="Times New Roman"/>
          <w:sz w:val="18"/>
          <w:szCs w:val="18"/>
        </w:rPr>
        <w:t xml:space="preserve">, 2007, vo1.34, </w:t>
      </w:r>
      <w:proofErr w:type="spellStart"/>
      <w:r w:rsidRPr="00C31A02">
        <w:rPr>
          <w:rFonts w:ascii="Times New Roman" w:eastAsia="TimesNewRomanPSMT" w:hAnsi="Times New Roman" w:cs="Times New Roman"/>
          <w:sz w:val="18"/>
          <w:szCs w:val="18"/>
        </w:rPr>
        <w:t>pp</w:t>
      </w:r>
      <w:proofErr w:type="spellEnd"/>
      <w:r w:rsidRPr="00C31A02">
        <w:rPr>
          <w:rFonts w:ascii="Times New Roman" w:eastAsia="TimesNewRomanPSMT" w:hAnsi="Times New Roman" w:cs="Times New Roman"/>
          <w:sz w:val="18"/>
          <w:szCs w:val="18"/>
        </w:rPr>
        <w:t>. 1243-1265.</w:t>
      </w:r>
    </w:p>
    <w:p w:rsidR="00CB6C82" w:rsidRPr="00C31A02" w:rsidRDefault="00CB6C82" w:rsidP="00CB6C82">
      <w:pPr>
        <w:autoSpaceDE w:val="0"/>
        <w:autoSpaceDN w:val="0"/>
        <w:adjustRightInd w:val="0"/>
        <w:spacing w:after="0" w:line="240" w:lineRule="auto"/>
        <w:rPr>
          <w:rFonts w:ascii="Times New Roman" w:eastAsia="TimesNewRomanPSMT" w:hAnsi="Times New Roman" w:cs="Times New Roman"/>
          <w:sz w:val="18"/>
          <w:szCs w:val="18"/>
        </w:rPr>
      </w:pPr>
      <w:r w:rsidRPr="00C31A02">
        <w:rPr>
          <w:rFonts w:ascii="Times New Roman" w:eastAsia="TimesNewRomanPSMT" w:hAnsi="Times New Roman" w:cs="Times New Roman"/>
          <w:sz w:val="18"/>
          <w:szCs w:val="18"/>
        </w:rPr>
        <w:t xml:space="preserve">Erkut, E. ve </w:t>
      </w:r>
      <w:proofErr w:type="spellStart"/>
      <w:r w:rsidRPr="00C31A02">
        <w:rPr>
          <w:rFonts w:ascii="Times New Roman" w:eastAsia="TimesNewRomanPSMT" w:hAnsi="Times New Roman" w:cs="Times New Roman"/>
          <w:sz w:val="18"/>
          <w:szCs w:val="18"/>
        </w:rPr>
        <w:t>Glickman</w:t>
      </w:r>
      <w:proofErr w:type="spellEnd"/>
      <w:r w:rsidRPr="00C31A02">
        <w:rPr>
          <w:rFonts w:ascii="Times New Roman" w:eastAsia="TimesNewRomanPSMT" w:hAnsi="Times New Roman" w:cs="Times New Roman"/>
          <w:sz w:val="18"/>
          <w:szCs w:val="18"/>
        </w:rPr>
        <w:t>, T.S</w:t>
      </w:r>
      <w:proofErr w:type="gramStart"/>
      <w:r w:rsidRPr="00C31A02">
        <w:rPr>
          <w:rFonts w:ascii="Times New Roman" w:eastAsia="TimesNewRomanPSMT" w:hAnsi="Times New Roman" w:cs="Times New Roman"/>
          <w:sz w:val="18"/>
          <w:szCs w:val="18"/>
        </w:rPr>
        <w:t>.,</w:t>
      </w:r>
      <w:proofErr w:type="gram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Assessment</w:t>
      </w:r>
      <w:proofErr w:type="spellEnd"/>
      <w:r w:rsidRPr="00C31A02">
        <w:rPr>
          <w:rFonts w:ascii="Times New Roman" w:eastAsia="TimesNewRomanPSMT" w:hAnsi="Times New Roman" w:cs="Times New Roman"/>
          <w:sz w:val="18"/>
          <w:szCs w:val="18"/>
        </w:rPr>
        <w:t xml:space="preserve"> of </w:t>
      </w:r>
      <w:proofErr w:type="spellStart"/>
      <w:r w:rsidRPr="00C31A02">
        <w:rPr>
          <w:rFonts w:ascii="Times New Roman" w:eastAsia="TimesNewRomanPSMT" w:hAnsi="Times New Roman" w:cs="Times New Roman"/>
          <w:sz w:val="18"/>
          <w:szCs w:val="18"/>
        </w:rPr>
        <w:t>hazardous</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material</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risks</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for</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rail</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yard</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safety</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Safety</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Science</w:t>
      </w:r>
      <w:proofErr w:type="spellEnd"/>
      <w:r w:rsidRPr="00C31A02">
        <w:rPr>
          <w:rFonts w:ascii="Times New Roman" w:eastAsia="TimesNewRomanPSMT" w:hAnsi="Times New Roman" w:cs="Times New Roman"/>
          <w:sz w:val="18"/>
          <w:szCs w:val="18"/>
        </w:rPr>
        <w:t xml:space="preserve">, </w:t>
      </w:r>
      <w:proofErr w:type="spellStart"/>
      <w:r w:rsidRPr="00C31A02">
        <w:rPr>
          <w:rFonts w:ascii="Times New Roman" w:eastAsia="TimesNewRomanPSMT" w:hAnsi="Times New Roman" w:cs="Times New Roman"/>
          <w:sz w:val="18"/>
          <w:szCs w:val="18"/>
        </w:rPr>
        <w:t>Vol</w:t>
      </w:r>
      <w:proofErr w:type="spellEnd"/>
      <w:r w:rsidRPr="00C31A02">
        <w:rPr>
          <w:rFonts w:ascii="Times New Roman" w:eastAsia="TimesNewRomanPSMT" w:hAnsi="Times New Roman" w:cs="Times New Roman"/>
          <w:sz w:val="18"/>
          <w:szCs w:val="18"/>
        </w:rPr>
        <w:t xml:space="preserve">. 45 (7), </w:t>
      </w:r>
      <w:proofErr w:type="spellStart"/>
      <w:r w:rsidRPr="00C31A02">
        <w:rPr>
          <w:rFonts w:ascii="Times New Roman" w:eastAsia="TimesNewRomanPSMT" w:hAnsi="Times New Roman" w:cs="Times New Roman"/>
          <w:sz w:val="18"/>
          <w:szCs w:val="18"/>
        </w:rPr>
        <w:t>pp</w:t>
      </w:r>
      <w:proofErr w:type="spellEnd"/>
      <w:r w:rsidRPr="00C31A02">
        <w:rPr>
          <w:rFonts w:ascii="Times New Roman" w:eastAsia="TimesNewRomanPSMT" w:hAnsi="Times New Roman" w:cs="Times New Roman"/>
          <w:sz w:val="18"/>
          <w:szCs w:val="18"/>
        </w:rPr>
        <w:t>. 813-822,</w:t>
      </w:r>
    </w:p>
    <w:p w:rsidR="00E2341D" w:rsidRPr="00C31A02" w:rsidRDefault="00CB6C82" w:rsidP="00CB6C82">
      <w:pPr>
        <w:autoSpaceDE w:val="0"/>
        <w:autoSpaceDN w:val="0"/>
        <w:adjustRightInd w:val="0"/>
        <w:spacing w:after="0" w:line="240" w:lineRule="auto"/>
        <w:rPr>
          <w:rFonts w:ascii="Times New Roman" w:eastAsia="TimesNewRomanPSMT" w:hAnsi="Times New Roman" w:cs="Times New Roman"/>
          <w:sz w:val="20"/>
          <w:szCs w:val="20"/>
        </w:rPr>
      </w:pPr>
      <w:r w:rsidRPr="00C31A02">
        <w:rPr>
          <w:rFonts w:ascii="Times New Roman" w:eastAsia="TimesNewRomanPSMT" w:hAnsi="Times New Roman" w:cs="Times New Roman"/>
          <w:sz w:val="18"/>
          <w:szCs w:val="18"/>
        </w:rPr>
        <w:t>2007.</w:t>
      </w:r>
    </w:p>
    <w:sectPr w:rsidR="00E2341D" w:rsidRPr="00C31A02" w:rsidSect="00C91F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00"/>
    <w:family w:val="roman"/>
    <w:notTrueType/>
    <w:pitch w:val="default"/>
    <w:sig w:usb0="00000000" w:usb1="08080000" w:usb2="00000010" w:usb3="00000000" w:csb0="00100011"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characterSpacingControl w:val="doNotCompress"/>
  <w:compat>
    <w:useFELayout/>
  </w:compat>
  <w:rsids>
    <w:rsidRoot w:val="008A1160"/>
    <w:rsid w:val="00033159"/>
    <w:rsid w:val="000A7B46"/>
    <w:rsid w:val="00305291"/>
    <w:rsid w:val="00413C23"/>
    <w:rsid w:val="007F5C8E"/>
    <w:rsid w:val="00815CF3"/>
    <w:rsid w:val="008A1160"/>
    <w:rsid w:val="00986E86"/>
    <w:rsid w:val="00C31A02"/>
    <w:rsid w:val="00C91F41"/>
    <w:rsid w:val="00CB6C82"/>
    <w:rsid w:val="00DB2E81"/>
    <w:rsid w:val="00DF220A"/>
    <w:rsid w:val="00E2341D"/>
    <w:rsid w:val="00E604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052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5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2842</Words>
  <Characters>16203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DeSTeK</dc:creator>
  <cp:keywords/>
  <dc:description/>
  <cp:lastModifiedBy>DeSTeK</cp:lastModifiedBy>
  <cp:revision>7</cp:revision>
  <dcterms:created xsi:type="dcterms:W3CDTF">2015-06-03T12:42:00Z</dcterms:created>
  <dcterms:modified xsi:type="dcterms:W3CDTF">2015-06-04T06:41:00Z</dcterms:modified>
</cp:coreProperties>
</file>